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5A86" w14:textId="73C960B1" w:rsidR="00830DF7" w:rsidRDefault="00830DF7" w:rsidP="00AE0D9C">
      <w:pPr>
        <w:spacing w:before="29" w:line="360" w:lineRule="auto"/>
        <w:ind w:right="49"/>
        <w:jc w:val="center"/>
        <w:rPr>
          <w:b/>
          <w:sz w:val="24"/>
          <w:szCs w:val="24"/>
          <w:lang w:val="es-ES"/>
        </w:rPr>
      </w:pPr>
      <w:r w:rsidRPr="00830DF7">
        <w:rPr>
          <w:b/>
          <w:sz w:val="24"/>
          <w:szCs w:val="24"/>
          <w:lang w:val="es-ES"/>
        </w:rPr>
        <w:t xml:space="preserve">Modelo de regresión funcional para la predicción de PM2.5 en función de PM10 en Lima </w:t>
      </w:r>
      <w:r>
        <w:rPr>
          <w:b/>
          <w:sz w:val="24"/>
          <w:szCs w:val="24"/>
          <w:lang w:val="es-ES"/>
        </w:rPr>
        <w:t>–</w:t>
      </w:r>
      <w:r w:rsidRPr="00830DF7">
        <w:rPr>
          <w:b/>
          <w:sz w:val="24"/>
          <w:szCs w:val="24"/>
          <w:lang w:val="es-ES"/>
        </w:rPr>
        <w:t xml:space="preserve"> Perú</w:t>
      </w:r>
    </w:p>
    <w:p w14:paraId="6F79E4A7" w14:textId="77777777" w:rsidR="004A1408" w:rsidRPr="00141778" w:rsidRDefault="004A1408" w:rsidP="00AE0D9C">
      <w:pPr>
        <w:spacing w:before="29" w:line="360" w:lineRule="auto"/>
        <w:ind w:right="49"/>
        <w:jc w:val="center"/>
        <w:rPr>
          <w:b/>
          <w:sz w:val="24"/>
          <w:szCs w:val="24"/>
          <w:lang w:val="es-ES"/>
        </w:rPr>
      </w:pPr>
    </w:p>
    <w:p w14:paraId="33DD7F0E" w14:textId="228D2F1B" w:rsidR="00980961" w:rsidRDefault="00830DF7" w:rsidP="00AE0D9C">
      <w:pPr>
        <w:spacing w:before="29" w:line="360" w:lineRule="auto"/>
        <w:ind w:right="49"/>
        <w:jc w:val="center"/>
        <w:rPr>
          <w:sz w:val="24"/>
          <w:szCs w:val="24"/>
        </w:rPr>
      </w:pPr>
      <w:r w:rsidRPr="00830DF7">
        <w:rPr>
          <w:b/>
          <w:sz w:val="24"/>
          <w:szCs w:val="24"/>
        </w:rPr>
        <w:t>Functional regression model for the prediction of PM2.5 as a function of PM10 in Lima - Peru</w:t>
      </w:r>
    </w:p>
    <w:p w14:paraId="535FF8A1" w14:textId="77777777" w:rsidR="00980961" w:rsidRDefault="00980961" w:rsidP="00980961">
      <w:pPr>
        <w:spacing w:before="9" w:line="140" w:lineRule="exact"/>
        <w:rPr>
          <w:sz w:val="15"/>
          <w:szCs w:val="15"/>
        </w:rPr>
      </w:pPr>
    </w:p>
    <w:p w14:paraId="740CE652" w14:textId="77777777" w:rsidR="00AE0D9C" w:rsidRPr="00AE0D9C" w:rsidRDefault="00AE0D9C" w:rsidP="00AE0D9C">
      <w:pPr>
        <w:ind w:left="102" w:right="49"/>
        <w:jc w:val="both"/>
        <w:rPr>
          <w:spacing w:val="-2"/>
          <w:sz w:val="24"/>
          <w:szCs w:val="24"/>
        </w:rPr>
      </w:pPr>
    </w:p>
    <w:p w14:paraId="721FCA36" w14:textId="7BE13E83" w:rsidR="00AE0D9C" w:rsidRPr="00141778" w:rsidRDefault="00FB0B26" w:rsidP="00AE0D9C">
      <w:pPr>
        <w:ind w:left="102" w:right="49"/>
        <w:jc w:val="both"/>
        <w:rPr>
          <w:sz w:val="24"/>
          <w:szCs w:val="24"/>
          <w:lang w:val="es-ES"/>
        </w:rPr>
      </w:pPr>
      <w:r w:rsidRPr="00FB0B26">
        <w:rPr>
          <w:sz w:val="24"/>
          <w:szCs w:val="24"/>
          <w:lang w:val="es-ES"/>
        </w:rPr>
        <w:t xml:space="preserve">Harold A. </w:t>
      </w:r>
      <w:proofErr w:type="spellStart"/>
      <w:r w:rsidRPr="00FB0B26">
        <w:rPr>
          <w:sz w:val="24"/>
          <w:szCs w:val="24"/>
          <w:lang w:val="es-ES"/>
        </w:rPr>
        <w:t>Choquetico</w:t>
      </w:r>
      <w:proofErr w:type="spellEnd"/>
      <w:r w:rsidRPr="00FB0B26">
        <w:rPr>
          <w:sz w:val="24"/>
          <w:szCs w:val="24"/>
          <w:lang w:val="es-ES"/>
        </w:rPr>
        <w:t xml:space="preserve"> Apaza</w:t>
      </w:r>
      <w:r w:rsidR="00581963">
        <w:rPr>
          <w:sz w:val="24"/>
          <w:szCs w:val="24"/>
          <w:vertAlign w:val="superscript"/>
          <w:lang w:val="es-ES"/>
        </w:rPr>
        <w:t>1</w:t>
      </w:r>
      <w:r w:rsidR="00AE0D9C" w:rsidRPr="004A1408">
        <w:rPr>
          <w:noProof/>
          <w:color w:val="1155CC"/>
        </w:rPr>
        <w:drawing>
          <wp:inline distT="114300" distB="114300" distL="114300" distR="114300" wp14:anchorId="04D24726" wp14:editId="17090D3B">
            <wp:extent cx="271872" cy="212400"/>
            <wp:effectExtent l="0" t="0" r="0" b="0"/>
            <wp:docPr id="3" name="image1.pn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 name="image1.png">
                      <a:hlinkClick r:id="rId8"/>
                    </pic:cNvPr>
                    <pic:cNvPicPr preferRelativeResize="0"/>
                  </pic:nvPicPr>
                  <pic:blipFill>
                    <a:blip r:embed="rId9"/>
                    <a:srcRect/>
                    <a:stretch>
                      <a:fillRect/>
                    </a:stretch>
                  </pic:blipFill>
                  <pic:spPr>
                    <a:xfrm>
                      <a:off x="0" y="0"/>
                      <a:ext cx="271872" cy="212400"/>
                    </a:xfrm>
                    <a:prstGeom prst="rect">
                      <a:avLst/>
                    </a:prstGeom>
                    <a:ln/>
                  </pic:spPr>
                </pic:pic>
              </a:graphicData>
            </a:graphic>
          </wp:inline>
        </w:drawing>
      </w:r>
      <w:r w:rsidR="00AE0D9C" w:rsidRPr="004A1408">
        <w:rPr>
          <w:noProof/>
          <w:color w:val="1155CC"/>
        </w:rPr>
        <w:drawing>
          <wp:inline distT="114300" distB="114300" distL="114300" distR="114300" wp14:anchorId="506D98C9" wp14:editId="6566F09B">
            <wp:extent cx="384480" cy="129600"/>
            <wp:effectExtent l="0" t="0" r="0" b="3810"/>
            <wp:docPr id="5" name="image3.pn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5" name="image3.png">
                      <a:hlinkClick r:id="rId10"/>
                    </pic:cNvPr>
                    <pic:cNvPicPr preferRelativeResize="0"/>
                  </pic:nvPicPr>
                  <pic:blipFill>
                    <a:blip r:embed="rId11"/>
                    <a:srcRect/>
                    <a:stretch>
                      <a:fillRect/>
                    </a:stretch>
                  </pic:blipFill>
                  <pic:spPr>
                    <a:xfrm>
                      <a:off x="0" y="0"/>
                      <a:ext cx="384480" cy="129600"/>
                    </a:xfrm>
                    <a:prstGeom prst="rect">
                      <a:avLst/>
                    </a:prstGeom>
                    <a:ln/>
                  </pic:spPr>
                </pic:pic>
              </a:graphicData>
            </a:graphic>
          </wp:inline>
        </w:drawing>
      </w:r>
      <w:r w:rsidR="00F62E72" w:rsidRPr="004A1408">
        <w:rPr>
          <w:sz w:val="24"/>
          <w:szCs w:val="24"/>
          <w:lang w:val="es-ES"/>
        </w:rPr>
        <w:t>,</w:t>
      </w:r>
      <w:r w:rsidR="00F62E72">
        <w:rPr>
          <w:sz w:val="24"/>
          <w:szCs w:val="24"/>
          <w:lang w:val="es-ES"/>
        </w:rPr>
        <w:t xml:space="preserve"> </w:t>
      </w:r>
      <w:r w:rsidRPr="00FB0B26">
        <w:rPr>
          <w:sz w:val="24"/>
          <w:szCs w:val="24"/>
          <w:lang w:val="es-ES"/>
        </w:rPr>
        <w:t>Edith Silva Rubio</w:t>
      </w:r>
      <w:r w:rsidR="00581963">
        <w:rPr>
          <w:sz w:val="24"/>
          <w:szCs w:val="24"/>
          <w:vertAlign w:val="superscript"/>
          <w:lang w:val="es-ES"/>
        </w:rPr>
        <w:t>2</w:t>
      </w:r>
      <w:hyperlink r:id="rId12">
        <w:r w:rsidR="00F62E72" w:rsidRPr="00C9725E">
          <w:rPr>
            <w:noProof/>
            <w:color w:val="1155CC"/>
            <w:sz w:val="24"/>
            <w:szCs w:val="24"/>
          </w:rPr>
          <w:drawing>
            <wp:inline distT="114300" distB="114300" distL="114300" distR="114300" wp14:anchorId="4140A796" wp14:editId="6869EE8C">
              <wp:extent cx="338400" cy="162000"/>
              <wp:effectExtent l="0" t="0" r="5080" b="0"/>
              <wp:docPr id="4" name="image2.png" descr="Logotipo&#10;&#10;Descripción generada automáticamente con confianza media">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5" name="image2.png" descr="Logotipo&#10;&#10;Descripción generada automáticamente con confianza media">
                        <a:hlinkClick r:id="rId12"/>
                      </pic:cNvPr>
                      <pic:cNvPicPr preferRelativeResize="0"/>
                    </pic:nvPicPr>
                    <pic:blipFill>
                      <a:blip r:embed="rId13"/>
                      <a:srcRect b="22463"/>
                      <a:stretch>
                        <a:fillRect/>
                      </a:stretch>
                    </pic:blipFill>
                    <pic:spPr>
                      <a:xfrm>
                        <a:off x="0" y="0"/>
                        <a:ext cx="338400" cy="162000"/>
                      </a:xfrm>
                      <a:prstGeom prst="rect">
                        <a:avLst/>
                      </a:prstGeom>
                      <a:ln/>
                    </pic:spPr>
                  </pic:pic>
                </a:graphicData>
              </a:graphic>
            </wp:inline>
          </w:drawing>
        </w:r>
      </w:hyperlink>
    </w:p>
    <w:p w14:paraId="23D20957" w14:textId="489D6A9C" w:rsidR="00980961" w:rsidRPr="0051180E" w:rsidRDefault="00980961" w:rsidP="00AE0D9C">
      <w:pPr>
        <w:ind w:left="102" w:right="49"/>
        <w:jc w:val="both"/>
        <w:rPr>
          <w:sz w:val="24"/>
          <w:szCs w:val="24"/>
          <w:lang w:val="es-ES"/>
        </w:rPr>
      </w:pPr>
    </w:p>
    <w:p w14:paraId="243A198D" w14:textId="4D90C4AD" w:rsidR="00141778" w:rsidRDefault="00581963" w:rsidP="00234BFF">
      <w:pPr>
        <w:ind w:left="102" w:right="-1"/>
        <w:jc w:val="both"/>
        <w:rPr>
          <w:sz w:val="24"/>
          <w:szCs w:val="24"/>
          <w:lang w:val="es-ES"/>
        </w:rPr>
      </w:pPr>
      <w:r>
        <w:rPr>
          <w:sz w:val="24"/>
          <w:szCs w:val="24"/>
          <w:vertAlign w:val="superscript"/>
          <w:lang w:val="es-ES"/>
        </w:rPr>
        <w:t>1</w:t>
      </w:r>
      <w:r w:rsidRPr="00581963">
        <w:rPr>
          <w:sz w:val="24"/>
          <w:szCs w:val="24"/>
          <w:lang w:val="es-ES"/>
        </w:rPr>
        <w:t>Universidad Nacional Intercultural de la Amazonía</w:t>
      </w:r>
      <w:r w:rsidR="00F62E72" w:rsidRPr="00F62E72">
        <w:rPr>
          <w:sz w:val="24"/>
          <w:szCs w:val="24"/>
          <w:lang w:val="es-ES"/>
        </w:rPr>
        <w:t>,</w:t>
      </w:r>
      <w:r w:rsidR="00234BFF">
        <w:rPr>
          <w:sz w:val="24"/>
          <w:szCs w:val="24"/>
          <w:lang w:val="es-ES"/>
        </w:rPr>
        <w:t xml:space="preserve"> </w:t>
      </w:r>
      <w:r>
        <w:rPr>
          <w:sz w:val="24"/>
          <w:szCs w:val="24"/>
          <w:lang w:val="es-ES"/>
        </w:rPr>
        <w:t>Pucallpa</w:t>
      </w:r>
      <w:r w:rsidR="00234BFF">
        <w:rPr>
          <w:sz w:val="24"/>
          <w:szCs w:val="24"/>
          <w:lang w:val="es-ES"/>
        </w:rPr>
        <w:t>,</w:t>
      </w:r>
      <w:r w:rsidR="00F62E72" w:rsidRPr="00F62E72">
        <w:rPr>
          <w:sz w:val="24"/>
          <w:szCs w:val="24"/>
          <w:lang w:val="es-ES"/>
        </w:rPr>
        <w:t xml:space="preserve"> Perú</w:t>
      </w:r>
    </w:p>
    <w:p w14:paraId="6F33BF2D" w14:textId="3855AE5C" w:rsidR="00581963" w:rsidRDefault="00581963" w:rsidP="00234BFF">
      <w:pPr>
        <w:ind w:left="102" w:right="-1"/>
        <w:jc w:val="both"/>
        <w:rPr>
          <w:sz w:val="24"/>
          <w:szCs w:val="24"/>
          <w:lang w:val="es-ES"/>
        </w:rPr>
      </w:pPr>
      <w:r>
        <w:rPr>
          <w:sz w:val="24"/>
          <w:szCs w:val="24"/>
          <w:vertAlign w:val="superscript"/>
          <w:lang w:val="es-ES"/>
        </w:rPr>
        <w:t>2</w:t>
      </w:r>
      <w:r w:rsidRPr="00581963">
        <w:rPr>
          <w:sz w:val="24"/>
          <w:szCs w:val="24"/>
          <w:lang w:val="es-ES"/>
        </w:rPr>
        <w:t xml:space="preserve">Universidad Peruana Unión, </w:t>
      </w:r>
      <w:r w:rsidR="008B6E2D" w:rsidRPr="008B6E2D">
        <w:rPr>
          <w:sz w:val="24"/>
          <w:szCs w:val="24"/>
          <w:lang w:val="es-ES"/>
        </w:rPr>
        <w:t>Chosica</w:t>
      </w:r>
      <w:r w:rsidRPr="00581963">
        <w:rPr>
          <w:sz w:val="24"/>
          <w:szCs w:val="24"/>
          <w:lang w:val="es-ES"/>
        </w:rPr>
        <w:t>, Perú</w:t>
      </w:r>
    </w:p>
    <w:p w14:paraId="4F2A87E6" w14:textId="77777777" w:rsidR="00F62E72" w:rsidRDefault="00F62E72" w:rsidP="00141778">
      <w:pPr>
        <w:ind w:left="102" w:right="2808"/>
        <w:jc w:val="both"/>
        <w:rPr>
          <w:b/>
          <w:sz w:val="24"/>
          <w:szCs w:val="24"/>
          <w:lang w:val="es-ES"/>
        </w:rPr>
      </w:pPr>
    </w:p>
    <w:p w14:paraId="0D6C6F3C" w14:textId="5474C13F" w:rsidR="00980961" w:rsidRPr="0051180E" w:rsidRDefault="00980961" w:rsidP="00A21D48">
      <w:pPr>
        <w:ind w:right="-1"/>
        <w:jc w:val="center"/>
        <w:rPr>
          <w:sz w:val="24"/>
          <w:szCs w:val="24"/>
          <w:lang w:val="es-ES"/>
        </w:rPr>
      </w:pPr>
      <w:r w:rsidRPr="0051180E">
        <w:rPr>
          <w:b/>
          <w:sz w:val="24"/>
          <w:szCs w:val="24"/>
          <w:lang w:val="es-ES"/>
        </w:rPr>
        <w:t>RE</w:t>
      </w:r>
      <w:r w:rsidRPr="0051180E">
        <w:rPr>
          <w:b/>
          <w:spacing w:val="1"/>
          <w:sz w:val="24"/>
          <w:szCs w:val="24"/>
          <w:lang w:val="es-ES"/>
        </w:rPr>
        <w:t>S</w:t>
      </w:r>
      <w:r w:rsidRPr="0051180E">
        <w:rPr>
          <w:b/>
          <w:sz w:val="24"/>
          <w:szCs w:val="24"/>
          <w:lang w:val="es-ES"/>
        </w:rPr>
        <w:t>U</w:t>
      </w:r>
      <w:r w:rsidRPr="0051180E">
        <w:rPr>
          <w:b/>
          <w:spacing w:val="-1"/>
          <w:sz w:val="24"/>
          <w:szCs w:val="24"/>
          <w:lang w:val="es-ES"/>
        </w:rPr>
        <w:t>M</w:t>
      </w:r>
      <w:r w:rsidRPr="0051180E">
        <w:rPr>
          <w:b/>
          <w:sz w:val="24"/>
          <w:szCs w:val="24"/>
          <w:lang w:val="es-ES"/>
        </w:rPr>
        <w:t>EN</w:t>
      </w:r>
    </w:p>
    <w:p w14:paraId="13F4089F" w14:textId="77777777" w:rsidR="00980961" w:rsidRPr="0051180E" w:rsidRDefault="00980961" w:rsidP="00980961">
      <w:pPr>
        <w:spacing w:before="13"/>
        <w:rPr>
          <w:sz w:val="28"/>
          <w:szCs w:val="28"/>
          <w:lang w:val="es-ES"/>
        </w:rPr>
      </w:pPr>
    </w:p>
    <w:p w14:paraId="077F2801" w14:textId="77777777" w:rsidR="00411A03" w:rsidRPr="00411A03" w:rsidRDefault="00411A03" w:rsidP="00411A03">
      <w:pPr>
        <w:pBdr>
          <w:top w:val="nil"/>
          <w:left w:val="nil"/>
          <w:bottom w:val="nil"/>
          <w:right w:val="nil"/>
          <w:between w:val="nil"/>
        </w:pBdr>
        <w:jc w:val="both"/>
        <w:rPr>
          <w:sz w:val="24"/>
          <w:szCs w:val="24"/>
          <w:lang w:val="es-ES"/>
        </w:rPr>
      </w:pPr>
      <w:r w:rsidRPr="00411A03">
        <w:rPr>
          <w:sz w:val="24"/>
          <w:szCs w:val="24"/>
          <w:lang w:val="es-ES"/>
        </w:rPr>
        <w:t>Este estudio pionero aprovecha el análisis funcional de datos dentro de la metrología ambiental para examinar las intrincadas relaciones entre variables ambientales críticas como las concentraciones de partículas PM2,5 en el Área Metropolitana de Lima-Callao. Abordar el vínculo entre la calidad del aire y estas partículas desde un punto de vista funcional ha aportado valiosos conocimientos que superan los análisis convencionales. Al examinar las variaciones temporales y las tendencias, esta investigación ha discernido no sólo la magnitud de la contaminación sino también sus patrones estacionales y diarios. El modelo de datos funcionales destaca por su capacidad para utilizar plenamente los datos históricos, integrando la información a lo largo del tiempo para ofrecer una perspectiva más completa. Este enfoque avanzado también ha allanado el camino para incorporar múltiples conjuntos de datos ambientales, como la temperatura, la humedad y otros contaminantes, para ofrecer una visión más amplia y polifacética de la calidad del aire. El objetivo de esta investigación es desarrollar un modelo predictivo avanzado que estime los niveles de PM2,5 a partir de las concentraciones de PM10, utilizando registros diarios de la calidad del aire a partir de 2023. A través de un marco integrado, el estudio pretende captar las complejas interacciones y dinámicas temporales de estos componentes atmosféricos, poniendo de relieve el importante impacto de las PM2,5 en la salud pública y la calidad del medio ambiente.</w:t>
      </w:r>
    </w:p>
    <w:p w14:paraId="342E6D61" w14:textId="77777777" w:rsidR="00411A03" w:rsidRPr="00411A03" w:rsidRDefault="00411A03" w:rsidP="00411A03">
      <w:pPr>
        <w:pBdr>
          <w:top w:val="nil"/>
          <w:left w:val="nil"/>
          <w:bottom w:val="nil"/>
          <w:right w:val="nil"/>
          <w:between w:val="nil"/>
        </w:pBdr>
        <w:jc w:val="both"/>
        <w:rPr>
          <w:sz w:val="24"/>
          <w:szCs w:val="24"/>
          <w:lang w:val="es-ES"/>
        </w:rPr>
      </w:pPr>
    </w:p>
    <w:p w14:paraId="2CBC6BAB" w14:textId="7C1AEE43" w:rsidR="00F62E72" w:rsidRPr="00F62E72" w:rsidRDefault="00F62E72" w:rsidP="00F62E72">
      <w:pPr>
        <w:pBdr>
          <w:top w:val="nil"/>
          <w:left w:val="nil"/>
          <w:bottom w:val="nil"/>
          <w:right w:val="nil"/>
          <w:between w:val="nil"/>
        </w:pBdr>
        <w:jc w:val="both"/>
        <w:rPr>
          <w:b/>
          <w:sz w:val="24"/>
          <w:szCs w:val="24"/>
          <w:highlight w:val="white"/>
          <w:lang w:val="es-ES"/>
        </w:rPr>
      </w:pPr>
    </w:p>
    <w:p w14:paraId="537B4195" w14:textId="7A47937C" w:rsidR="00F62E72" w:rsidRPr="00F62E72" w:rsidRDefault="00F62E72" w:rsidP="00F62E72">
      <w:pPr>
        <w:pBdr>
          <w:top w:val="nil"/>
          <w:left w:val="nil"/>
          <w:bottom w:val="nil"/>
          <w:right w:val="nil"/>
          <w:between w:val="nil"/>
        </w:pBdr>
        <w:rPr>
          <w:sz w:val="24"/>
          <w:szCs w:val="24"/>
          <w:highlight w:val="white"/>
          <w:lang w:val="es-ES"/>
        </w:rPr>
      </w:pPr>
      <w:r w:rsidRPr="00F62E72">
        <w:rPr>
          <w:b/>
          <w:sz w:val="24"/>
          <w:szCs w:val="24"/>
          <w:highlight w:val="white"/>
          <w:lang w:val="es-ES"/>
        </w:rPr>
        <w:t xml:space="preserve">Palabras clave: </w:t>
      </w:r>
      <w:r w:rsidR="00411A03" w:rsidRPr="00411A03">
        <w:rPr>
          <w:sz w:val="24"/>
          <w:szCs w:val="24"/>
          <w:lang w:val="es-ES"/>
        </w:rPr>
        <w:t>Análisis Funcional de Datos, PM2.5, PM10, Calidad del Aire, Modelo Concurrente.</w:t>
      </w:r>
    </w:p>
    <w:p w14:paraId="21C3C1A8" w14:textId="77777777" w:rsidR="004070D2" w:rsidRPr="00AE0D9C" w:rsidRDefault="004070D2" w:rsidP="00AE0D9C">
      <w:pPr>
        <w:jc w:val="both"/>
        <w:rPr>
          <w:sz w:val="24"/>
          <w:szCs w:val="24"/>
          <w:lang w:val="es-ES"/>
        </w:rPr>
      </w:pPr>
    </w:p>
    <w:p w14:paraId="3FBD4CE0" w14:textId="77777777" w:rsidR="00980961" w:rsidRPr="00F62E72" w:rsidRDefault="00980961" w:rsidP="00A21D48">
      <w:pPr>
        <w:ind w:right="-1"/>
        <w:jc w:val="center"/>
        <w:rPr>
          <w:b/>
          <w:sz w:val="24"/>
          <w:szCs w:val="24"/>
        </w:rPr>
      </w:pPr>
      <w:r w:rsidRPr="00F62E72">
        <w:rPr>
          <w:b/>
          <w:sz w:val="24"/>
          <w:szCs w:val="24"/>
        </w:rPr>
        <w:t>ABSTRACT</w:t>
      </w:r>
    </w:p>
    <w:p w14:paraId="5C3AF6A7" w14:textId="77777777" w:rsidR="00980961" w:rsidRDefault="00980961" w:rsidP="00980961">
      <w:pPr>
        <w:spacing w:before="13"/>
        <w:rPr>
          <w:sz w:val="28"/>
          <w:szCs w:val="28"/>
        </w:rPr>
      </w:pPr>
    </w:p>
    <w:p w14:paraId="1A858FA1" w14:textId="1140FEA5" w:rsidR="00F62E72" w:rsidRDefault="00411A03" w:rsidP="00387603">
      <w:pPr>
        <w:pBdr>
          <w:top w:val="nil"/>
          <w:left w:val="nil"/>
          <w:bottom w:val="nil"/>
          <w:right w:val="nil"/>
          <w:between w:val="nil"/>
        </w:pBdr>
        <w:jc w:val="both"/>
        <w:rPr>
          <w:sz w:val="24"/>
          <w:szCs w:val="24"/>
          <w:highlight w:val="white"/>
        </w:rPr>
      </w:pPr>
      <w:r w:rsidRPr="00411A03">
        <w:rPr>
          <w:sz w:val="24"/>
          <w:szCs w:val="24"/>
        </w:rPr>
        <w:t xml:space="preserve">This pioneering study leverages functional data analysis within environmental metrology to examine the intricate relationships between critical environmental variables such as PM2.5 particle concentrations in the Metropolitan Area of Lima-Callao. Addressing the link between air quality and these particles from a functional standpoint has yielded valuable insights that surpass conventional analysis. By examining temporal variations and trends, this research has discerned not only the magnitude of pollution but also its seasonal and daily patterns. The functional data model stands out for its ability to fully utilize historical data, integrating information over time to provide a more comprehensive </w:t>
      </w:r>
      <w:r w:rsidRPr="00411A03">
        <w:rPr>
          <w:sz w:val="24"/>
          <w:szCs w:val="24"/>
        </w:rPr>
        <w:lastRenderedPageBreak/>
        <w:t>perspective. This advanced approach has also paved the way for incorporating multiple environmental datasets, such as temperature, humidity, and other pollutants, to offer a broader, more multifaceted view of air quality. The goal of this research is to develop an advanced predictive model that estimates PM2.5 levels based on the concentrations of PM10, utilizing daily air quality records from 2023. Through an integrated framework, the study aims to capture the complex interactions and temporal dynamics of these atmospheric components, highlighting the significant impact of PM2.5 on public health and environmental quality.</w:t>
      </w:r>
    </w:p>
    <w:p w14:paraId="62097E1C" w14:textId="77777777" w:rsidR="00387603" w:rsidRPr="0007483B" w:rsidRDefault="00387603" w:rsidP="00387603">
      <w:pPr>
        <w:pBdr>
          <w:top w:val="nil"/>
          <w:left w:val="nil"/>
          <w:bottom w:val="nil"/>
          <w:right w:val="nil"/>
          <w:between w:val="nil"/>
        </w:pBdr>
        <w:jc w:val="both"/>
        <w:rPr>
          <w:b/>
          <w:sz w:val="24"/>
          <w:szCs w:val="24"/>
          <w:highlight w:val="white"/>
        </w:rPr>
      </w:pPr>
    </w:p>
    <w:p w14:paraId="10E3D414" w14:textId="6570A169" w:rsidR="00F62E72" w:rsidRDefault="00F62E72" w:rsidP="00F62E72">
      <w:pPr>
        <w:pBdr>
          <w:top w:val="nil"/>
          <w:left w:val="nil"/>
          <w:bottom w:val="nil"/>
          <w:right w:val="nil"/>
          <w:between w:val="nil"/>
        </w:pBdr>
        <w:rPr>
          <w:sz w:val="24"/>
          <w:szCs w:val="24"/>
          <w:highlight w:val="white"/>
        </w:rPr>
      </w:pPr>
      <w:r w:rsidRPr="0007483B">
        <w:rPr>
          <w:b/>
          <w:sz w:val="24"/>
          <w:szCs w:val="24"/>
          <w:highlight w:val="white"/>
        </w:rPr>
        <w:t xml:space="preserve">Keyboards: </w:t>
      </w:r>
      <w:r w:rsidR="00411A03" w:rsidRPr="00411A03">
        <w:rPr>
          <w:sz w:val="24"/>
          <w:szCs w:val="24"/>
        </w:rPr>
        <w:t>Functional Data Analysis, PM2.5, PM10, Air Quality, Concurrent model.</w:t>
      </w:r>
    </w:p>
    <w:p w14:paraId="03E4C513" w14:textId="7A690A58" w:rsidR="0088517B" w:rsidRDefault="0088517B" w:rsidP="00F62E72">
      <w:pPr>
        <w:pBdr>
          <w:top w:val="nil"/>
          <w:left w:val="nil"/>
          <w:bottom w:val="nil"/>
          <w:right w:val="nil"/>
          <w:between w:val="nil"/>
        </w:pBdr>
        <w:rPr>
          <w:sz w:val="24"/>
          <w:szCs w:val="24"/>
          <w:highlight w:val="white"/>
        </w:rPr>
      </w:pPr>
    </w:p>
    <w:p w14:paraId="2ABEC4C3" w14:textId="738F2ACD" w:rsidR="0088517B" w:rsidRDefault="0088517B" w:rsidP="00F62E72">
      <w:pPr>
        <w:pBdr>
          <w:top w:val="nil"/>
          <w:left w:val="nil"/>
          <w:bottom w:val="nil"/>
          <w:right w:val="nil"/>
          <w:between w:val="nil"/>
        </w:pBdr>
        <w:rPr>
          <w:sz w:val="24"/>
          <w:szCs w:val="24"/>
          <w:highlight w:val="white"/>
        </w:rPr>
      </w:pPr>
    </w:p>
    <w:p w14:paraId="566A02FE" w14:textId="77777777" w:rsidR="0088517B" w:rsidRPr="0007483B" w:rsidRDefault="0088517B" w:rsidP="00F62E72">
      <w:pPr>
        <w:pBdr>
          <w:top w:val="nil"/>
          <w:left w:val="nil"/>
          <w:bottom w:val="nil"/>
          <w:right w:val="nil"/>
          <w:between w:val="nil"/>
        </w:pBdr>
        <w:rPr>
          <w:sz w:val="24"/>
          <w:szCs w:val="24"/>
          <w:highlight w:val="white"/>
        </w:rPr>
      </w:pPr>
    </w:p>
    <w:p w14:paraId="3EDEE948" w14:textId="09C1CE8D" w:rsidR="00AE0D9C" w:rsidRDefault="00AE0D9C" w:rsidP="00A21D48">
      <w:pPr>
        <w:numPr>
          <w:ilvl w:val="0"/>
          <w:numId w:val="7"/>
        </w:numPr>
        <w:spacing w:line="360" w:lineRule="auto"/>
        <w:ind w:left="567" w:right="-1"/>
        <w:jc w:val="center"/>
        <w:rPr>
          <w:b/>
          <w:sz w:val="24"/>
          <w:szCs w:val="24"/>
        </w:rPr>
      </w:pPr>
      <w:r>
        <w:rPr>
          <w:b/>
          <w:sz w:val="24"/>
          <w:szCs w:val="24"/>
        </w:rPr>
        <w:t>INTRODUCCIÓN</w:t>
      </w:r>
    </w:p>
    <w:p w14:paraId="1AB6D264" w14:textId="77777777" w:rsidR="00411A03" w:rsidRDefault="00411A03" w:rsidP="00411A03">
      <w:pPr>
        <w:jc w:val="both"/>
        <w:rPr>
          <w:sz w:val="24"/>
          <w:szCs w:val="24"/>
          <w:lang w:val="es-ES"/>
        </w:rPr>
      </w:pPr>
      <w:r w:rsidRPr="00EC1119">
        <w:rPr>
          <w:sz w:val="24"/>
          <w:szCs w:val="24"/>
          <w:lang w:val="es-ES"/>
        </w:rPr>
        <w:t>Numerosos estudios, como los realizados por Londoño y Cañón en 2018, han revelado de manera concluyente que los contaminantes atmosféricos, y en particular las partículas finas de menos de 2.5 micras (PM2.5), tienen un impacto significativo en la salud de los habitantes de las áreas metropolitanas. Estas partículas, debido a su pequeño tamaño, pueden penetrar profundamente en el sistema respiratorio, causando desde problemas pulmonares hasta enfermedades cardiovasculares. Estos efectos se observan tanto en términos de un aumento en la mortalidad como en la prevalencia de diversas enfermedades crónicas. El impacto de la contaminación atmosférica en la salud humana ha sido objeto de una investigación intensiva debido a su vínculo con el incremento de la mortalidad y la prevalencia de enfermedades respiratorias y cardiovasculares. Dichos efectos son observables tanto a corto como a largo plazo, con diversas implicaciones y consecuencias en todas las etapas de la vida, desde la concepción hasta la vejez. (Baena. Jiménez, Zapata &amp; Ramírez, 2019)</w:t>
      </w:r>
    </w:p>
    <w:p w14:paraId="72B204BE" w14:textId="77777777" w:rsidR="00411A03" w:rsidRPr="00EC1119" w:rsidRDefault="00411A03" w:rsidP="00411A03">
      <w:pPr>
        <w:jc w:val="both"/>
        <w:rPr>
          <w:sz w:val="24"/>
          <w:szCs w:val="24"/>
          <w:lang w:val="es-ES"/>
        </w:rPr>
      </w:pPr>
      <w:r w:rsidRPr="00EC1119">
        <w:rPr>
          <w:sz w:val="24"/>
          <w:szCs w:val="24"/>
          <w:lang w:val="es-ES"/>
        </w:rPr>
        <w:t>A medida que las economías urbanas se expanden, con un aumento en la industrialización y la urbanización, la calidad del aire se convierte en una preocupación creciente. Esta preocupación no es infundada, ya que el deterioro ambiental, un subproducto frecuente del desarrollo económico acelerado, puede, si no se aborda de manera efectiva y oportuna, limitar el futuro crecimiento económico. Este fenómeno crea un círculo vicioso donde la contaminación atmosférica deteriora la salud pública, lo que a su vez reduce la productividad laboral y aumenta los costos sanitarios, restringiendo así el potencial económico de la región. (</w:t>
      </w:r>
      <w:proofErr w:type="spellStart"/>
      <w:r w:rsidRPr="00EC1119">
        <w:rPr>
          <w:sz w:val="24"/>
          <w:szCs w:val="24"/>
          <w:lang w:val="es-ES"/>
        </w:rPr>
        <w:t>Azqueta</w:t>
      </w:r>
      <w:proofErr w:type="spellEnd"/>
      <w:r w:rsidRPr="00EC1119">
        <w:rPr>
          <w:sz w:val="24"/>
          <w:szCs w:val="24"/>
          <w:lang w:val="es-ES"/>
        </w:rPr>
        <w:t xml:space="preserve"> y </w:t>
      </w:r>
      <w:proofErr w:type="spellStart"/>
      <w:r w:rsidRPr="00EC1119">
        <w:rPr>
          <w:sz w:val="24"/>
          <w:szCs w:val="24"/>
          <w:lang w:val="es-ES"/>
        </w:rPr>
        <w:t>Delacámara</w:t>
      </w:r>
      <w:proofErr w:type="spellEnd"/>
      <w:r w:rsidRPr="00EC1119">
        <w:rPr>
          <w:sz w:val="24"/>
          <w:szCs w:val="24"/>
          <w:lang w:val="es-ES"/>
        </w:rPr>
        <w:t>, 2004)</w:t>
      </w:r>
    </w:p>
    <w:p w14:paraId="326CD2A1" w14:textId="77777777" w:rsidR="00411A03" w:rsidRPr="00EC1119" w:rsidRDefault="00411A03" w:rsidP="00411A03">
      <w:pPr>
        <w:jc w:val="both"/>
        <w:rPr>
          <w:sz w:val="24"/>
          <w:szCs w:val="24"/>
          <w:lang w:val="es-ES"/>
        </w:rPr>
      </w:pPr>
      <w:r w:rsidRPr="00EC1119">
        <w:rPr>
          <w:sz w:val="24"/>
          <w:szCs w:val="24"/>
          <w:lang w:val="es-ES"/>
        </w:rPr>
        <w:t xml:space="preserve">Además, la Secretaría de Medio Ambiente y Recursos Naturales, en su informe de 2011, ha identificado una correlación entre la presencia de contaminantes atmosféricos y eventos climáticos extremos, como sequías prolongadas, lluvias intensas y nevadas severas. Estos eventos no solo perturban los ecosistemas naturales y la agricultura, sino que también tienen repercusiones directas en la vida cotidiana y la infraestructura urbana. </w:t>
      </w:r>
    </w:p>
    <w:p w14:paraId="13D929A8" w14:textId="77777777" w:rsidR="00411A03" w:rsidRPr="00EC1119" w:rsidRDefault="00411A03" w:rsidP="00411A03">
      <w:pPr>
        <w:jc w:val="both"/>
        <w:rPr>
          <w:sz w:val="24"/>
          <w:szCs w:val="24"/>
          <w:lang w:val="es-ES"/>
        </w:rPr>
      </w:pPr>
      <w:r w:rsidRPr="00EC1119">
        <w:rPr>
          <w:sz w:val="24"/>
          <w:szCs w:val="24"/>
          <w:lang w:val="es-ES"/>
        </w:rPr>
        <w:t>En el caso específico del Área Metropolitana de Lima-Callao, el aumento demográfico ha exacerbado la problemática de la contaminación del aire. La densidad poblacional, combinada con un alto número de vehículos y una industrialización creciente, ha llevado a que esta zona sea una de las más contaminadas en términos de partículas suspendidas en el aire en toda América Latina</w:t>
      </w:r>
    </w:p>
    <w:p w14:paraId="0D1FCA3B" w14:textId="77777777" w:rsidR="00411A03" w:rsidRPr="00EC1119" w:rsidRDefault="00411A03" w:rsidP="00411A03">
      <w:pPr>
        <w:jc w:val="both"/>
        <w:rPr>
          <w:sz w:val="24"/>
          <w:szCs w:val="24"/>
          <w:lang w:val="es-ES"/>
        </w:rPr>
      </w:pPr>
      <w:r w:rsidRPr="00EC1119">
        <w:rPr>
          <w:sz w:val="24"/>
          <w:szCs w:val="24"/>
          <w:lang w:val="es-ES"/>
        </w:rPr>
        <w:t xml:space="preserve">En el campo de la metrología ambiental, el uso del análisis de datos funcionales aún no es muy extendido, a pesar de su potencial significativo. Este estudio pionero adopta el modelo de regresión funcional para investigar las complejas interrelaciones entre variables medioambientales críticas, como las concentraciones de partículas PM2.5. Al abordar la conexión entre la calidad del aire y estas partículas desde una perspectiva </w:t>
      </w:r>
      <w:r w:rsidRPr="00EC1119">
        <w:rPr>
          <w:sz w:val="24"/>
          <w:szCs w:val="24"/>
          <w:lang w:val="es-ES"/>
        </w:rPr>
        <w:lastRenderedPageBreak/>
        <w:t xml:space="preserve">funcional, logramos obtener </w:t>
      </w:r>
      <w:proofErr w:type="spellStart"/>
      <w:r w:rsidRPr="00EC1119">
        <w:rPr>
          <w:sz w:val="24"/>
          <w:szCs w:val="24"/>
          <w:lang w:val="es-ES"/>
        </w:rPr>
        <w:t>insights</w:t>
      </w:r>
      <w:proofErr w:type="spellEnd"/>
      <w:r w:rsidRPr="00EC1119">
        <w:rPr>
          <w:sz w:val="24"/>
          <w:szCs w:val="24"/>
          <w:lang w:val="es-ES"/>
        </w:rPr>
        <w:t xml:space="preserve"> valiosos que van más allá de los análisis convencionales. (Zhu, Zhao, Li, </w:t>
      </w:r>
      <w:proofErr w:type="gramStart"/>
      <w:r w:rsidRPr="00EC1119">
        <w:rPr>
          <w:sz w:val="24"/>
          <w:szCs w:val="24"/>
          <w:lang w:val="es-ES"/>
        </w:rPr>
        <w:t>Tan  y</w:t>
      </w:r>
      <w:proofErr w:type="gramEnd"/>
      <w:r w:rsidRPr="00EC1119">
        <w:rPr>
          <w:sz w:val="24"/>
          <w:szCs w:val="24"/>
          <w:lang w:val="es-ES"/>
        </w:rPr>
        <w:t xml:space="preserve"> </w:t>
      </w:r>
      <w:proofErr w:type="spellStart"/>
      <w:r w:rsidRPr="00EC1119">
        <w:rPr>
          <w:sz w:val="24"/>
          <w:szCs w:val="24"/>
          <w:lang w:val="es-ES"/>
        </w:rPr>
        <w:t>Dai</w:t>
      </w:r>
      <w:proofErr w:type="spellEnd"/>
      <w:r w:rsidRPr="00EC1119">
        <w:rPr>
          <w:sz w:val="24"/>
          <w:szCs w:val="24"/>
          <w:lang w:val="es-ES"/>
        </w:rPr>
        <w:t>, 2023).</w:t>
      </w:r>
    </w:p>
    <w:p w14:paraId="179DF5C1" w14:textId="77777777" w:rsidR="00411A03" w:rsidRPr="00EC1119" w:rsidRDefault="00411A03" w:rsidP="00411A03">
      <w:pPr>
        <w:jc w:val="both"/>
        <w:rPr>
          <w:sz w:val="24"/>
          <w:szCs w:val="24"/>
          <w:lang w:val="es-ES"/>
        </w:rPr>
      </w:pPr>
      <w:r w:rsidRPr="00EC1119">
        <w:rPr>
          <w:sz w:val="24"/>
          <w:szCs w:val="24"/>
          <w:lang w:val="es-ES"/>
        </w:rPr>
        <w:t>Este enfoque funcional permite una comprensión más profunda de cómo las variaciones temporales y las tendencias en las concentraciones de PM2.5 afectan la calidad del aire. Por ejemplo, a través del análisis de series temporales y patrones funcionales, es posible discernir no solo la magnitud de la contaminación, sino también sus patrones estacionales y diarios. Esta comprensión detallada es crucial para la formulación de estrategias efectivas de prevención y tratamiento de la contaminación atmosférica. (</w:t>
      </w:r>
      <w:proofErr w:type="spellStart"/>
      <w:r w:rsidRPr="00EC1119">
        <w:rPr>
          <w:sz w:val="24"/>
          <w:szCs w:val="24"/>
          <w:lang w:val="es-ES"/>
        </w:rPr>
        <w:t>Sanjana</w:t>
      </w:r>
      <w:proofErr w:type="spellEnd"/>
      <w:r w:rsidRPr="00EC1119">
        <w:rPr>
          <w:sz w:val="24"/>
          <w:szCs w:val="24"/>
          <w:lang w:val="es-ES"/>
        </w:rPr>
        <w:t xml:space="preserve">, </w:t>
      </w:r>
      <w:proofErr w:type="spellStart"/>
      <w:r w:rsidRPr="00EC1119">
        <w:rPr>
          <w:sz w:val="24"/>
          <w:szCs w:val="24"/>
          <w:lang w:val="es-ES"/>
        </w:rPr>
        <w:t>DeSouza</w:t>
      </w:r>
      <w:proofErr w:type="spellEnd"/>
      <w:r w:rsidRPr="00EC1119">
        <w:rPr>
          <w:sz w:val="24"/>
          <w:szCs w:val="24"/>
          <w:lang w:val="es-ES"/>
        </w:rPr>
        <w:t>, Machida, Mora, Duarte y Ratti, 2023).</w:t>
      </w:r>
    </w:p>
    <w:p w14:paraId="21E9A90F" w14:textId="77777777" w:rsidR="00411A03" w:rsidRPr="00EC1119" w:rsidRDefault="00411A03" w:rsidP="00411A03">
      <w:pPr>
        <w:jc w:val="both"/>
        <w:rPr>
          <w:sz w:val="24"/>
          <w:szCs w:val="24"/>
          <w:lang w:val="es-ES"/>
        </w:rPr>
      </w:pPr>
      <w:r w:rsidRPr="00EC1119">
        <w:rPr>
          <w:sz w:val="24"/>
          <w:szCs w:val="24"/>
          <w:lang w:val="es-ES"/>
        </w:rPr>
        <w:t>Además, el modelo de datos funcionales se distingue por su capacidad para aprovechar al máximo la información histórica, integrando datos a lo largo del tiempo para proporcionar una perspectiva más completa. A diferencia de los métodos tradicionales que pueden depender en gran medida de juicios subjetivos o de análisis estáticos puntuales, el modelo funcional captura la dinámica y la evolución de los factores ambientales, permitiendo así predicciones y análisis más precisos y confiables.</w:t>
      </w:r>
    </w:p>
    <w:p w14:paraId="1C0763EA" w14:textId="77777777" w:rsidR="00411A03" w:rsidRPr="00EC1119" w:rsidRDefault="00411A03" w:rsidP="00411A03">
      <w:pPr>
        <w:jc w:val="both"/>
        <w:rPr>
          <w:sz w:val="24"/>
          <w:szCs w:val="24"/>
          <w:lang w:val="es-ES"/>
        </w:rPr>
      </w:pPr>
      <w:r w:rsidRPr="00EC1119">
        <w:rPr>
          <w:sz w:val="24"/>
          <w:szCs w:val="24"/>
          <w:lang w:val="es-ES"/>
        </w:rPr>
        <w:t xml:space="preserve">Este enfoque avanzado también abre la puerta a la integración de múltiples conjuntos de datos ambientales, como la temperatura, la humedad y otros contaminantes, para obtener un panorama más completo y multidimensional de la calidad del aire. Al correlacionar estas variables ambientales con los niveles de PM2.5, el modelo puede revelar patrones ocultos y relaciones complejas que de otro modo serían difíciles de detectar. (Xiao y </w:t>
      </w:r>
      <w:proofErr w:type="spellStart"/>
      <w:r w:rsidRPr="00EC1119">
        <w:rPr>
          <w:sz w:val="24"/>
          <w:szCs w:val="24"/>
          <w:lang w:val="es-ES"/>
        </w:rPr>
        <w:t>Hu</w:t>
      </w:r>
      <w:proofErr w:type="spellEnd"/>
      <w:r w:rsidRPr="00EC1119">
        <w:rPr>
          <w:sz w:val="24"/>
          <w:szCs w:val="24"/>
          <w:lang w:val="es-ES"/>
        </w:rPr>
        <w:t>, 2018).</w:t>
      </w:r>
    </w:p>
    <w:p w14:paraId="6290DC13" w14:textId="77777777" w:rsidR="00411A03" w:rsidRPr="00EC1119" w:rsidRDefault="00411A03" w:rsidP="00411A03">
      <w:pPr>
        <w:jc w:val="both"/>
        <w:rPr>
          <w:sz w:val="24"/>
          <w:szCs w:val="24"/>
          <w:lang w:val="es-ES"/>
        </w:rPr>
      </w:pPr>
      <w:r w:rsidRPr="00EC1119">
        <w:rPr>
          <w:sz w:val="24"/>
          <w:szCs w:val="24"/>
          <w:lang w:val="es-ES"/>
        </w:rPr>
        <w:t>En el marco de este estudio, nuestro objetivo es desarrollar un modelo predictivo avanzado que estime los niveles de PM2.5 basándose en las concentraciones de PM10, O3, NO2 y SO2. Para lograr esto, implementamos un enfoque de regresión funcional múltiple que aprovecha los registros diarios de la calidad del aire recopilados en el período comprendido entre 2021 y 2023. La relevancia de modelar PM2.5 radica en su impacto significativo en la salud pública y la calidad ambiental, ya que partículas de este tamaño pueden penetrar profundamente en el sistema respiratorio y causar efectos adversos. Mediante el análisis de estos contaminantes en un marco integrado, buscamos capturar las interacciones complejas y la dinámica temporal de estos componentes atmosféricos.</w:t>
      </w:r>
    </w:p>
    <w:p w14:paraId="6B1DAE84" w14:textId="64BA3872" w:rsidR="00411A03" w:rsidRDefault="00411A03" w:rsidP="00411A03">
      <w:pPr>
        <w:spacing w:line="360" w:lineRule="auto"/>
        <w:ind w:right="-1"/>
        <w:rPr>
          <w:b/>
          <w:sz w:val="24"/>
          <w:szCs w:val="24"/>
          <w:lang w:val="es-ES"/>
        </w:rPr>
      </w:pPr>
    </w:p>
    <w:p w14:paraId="3FF89A8B" w14:textId="37475ED6" w:rsidR="00411A03" w:rsidRDefault="00411A03" w:rsidP="00411A03">
      <w:pPr>
        <w:numPr>
          <w:ilvl w:val="0"/>
          <w:numId w:val="7"/>
        </w:numPr>
        <w:spacing w:line="360" w:lineRule="auto"/>
        <w:ind w:left="567" w:right="-1"/>
        <w:rPr>
          <w:b/>
          <w:sz w:val="24"/>
          <w:szCs w:val="24"/>
        </w:rPr>
      </w:pPr>
      <w:proofErr w:type="spellStart"/>
      <w:r w:rsidRPr="00411A03">
        <w:rPr>
          <w:b/>
          <w:sz w:val="24"/>
          <w:szCs w:val="24"/>
        </w:rPr>
        <w:t>Datos</w:t>
      </w:r>
      <w:proofErr w:type="spellEnd"/>
      <w:r w:rsidRPr="00411A03">
        <w:rPr>
          <w:b/>
          <w:sz w:val="24"/>
          <w:szCs w:val="24"/>
        </w:rPr>
        <w:t xml:space="preserve"> de </w:t>
      </w:r>
      <w:proofErr w:type="spellStart"/>
      <w:r w:rsidRPr="00411A03">
        <w:rPr>
          <w:b/>
          <w:sz w:val="24"/>
          <w:szCs w:val="24"/>
        </w:rPr>
        <w:t>estudio</w:t>
      </w:r>
      <w:proofErr w:type="spellEnd"/>
      <w:r w:rsidRPr="00411A03">
        <w:rPr>
          <w:b/>
          <w:sz w:val="24"/>
          <w:szCs w:val="24"/>
        </w:rPr>
        <w:t xml:space="preserve"> y </w:t>
      </w:r>
      <w:r w:rsidRPr="0023141A">
        <w:rPr>
          <w:b/>
          <w:sz w:val="24"/>
          <w:szCs w:val="24"/>
          <w:lang w:val="es-PE"/>
        </w:rPr>
        <w:t>metodología</w:t>
      </w:r>
    </w:p>
    <w:p w14:paraId="5A3ADC8C" w14:textId="29F21206" w:rsidR="00411A03" w:rsidRPr="00EC1119" w:rsidRDefault="00411A03" w:rsidP="00411A03">
      <w:pPr>
        <w:pStyle w:val="Prrafodelista"/>
        <w:numPr>
          <w:ilvl w:val="1"/>
          <w:numId w:val="34"/>
        </w:numPr>
        <w:ind w:left="284" w:firstLine="0"/>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 </w:t>
      </w:r>
      <w:r w:rsidRPr="00EC1119">
        <w:rPr>
          <w:rFonts w:ascii="Times New Roman" w:hAnsi="Times New Roman" w:cs="Times New Roman"/>
          <w:b/>
          <w:bCs/>
          <w:sz w:val="24"/>
          <w:szCs w:val="24"/>
          <w:lang w:val="es-ES"/>
        </w:rPr>
        <w:t>Descripción del conjunto de datos</w:t>
      </w:r>
    </w:p>
    <w:p w14:paraId="1F2BD036" w14:textId="77777777" w:rsidR="00411A03" w:rsidRPr="00EC1119" w:rsidRDefault="00411A03" w:rsidP="00411A03">
      <w:pPr>
        <w:jc w:val="both"/>
        <w:rPr>
          <w:sz w:val="24"/>
          <w:szCs w:val="24"/>
          <w:lang w:val="es-CO"/>
        </w:rPr>
      </w:pPr>
      <w:r w:rsidRPr="00EC1119">
        <w:rPr>
          <w:sz w:val="24"/>
          <w:szCs w:val="24"/>
          <w:lang w:val="es-CO"/>
        </w:rPr>
        <w:t xml:space="preserve">Se emplearon los datos provenientes de la Plataforma de datos históricos acerca de la calidad del aire. El grupo de trabajo encargado del desarrollo del Índice Mundial de la Calidad del Aire (WAQI) y del Sistema de Gestión de Información de la Calidad del Aire en Perú (SENAMHI) suministra información clara sobre la calidad del aire en los distritos de Lima (San Juan de Lurigancho, Puente Piedra, </w:t>
      </w:r>
      <w:proofErr w:type="spellStart"/>
      <w:r w:rsidRPr="00EC1119">
        <w:rPr>
          <w:sz w:val="24"/>
          <w:szCs w:val="24"/>
          <w:lang w:val="es-CO"/>
        </w:rPr>
        <w:t>Carabayllo</w:t>
      </w:r>
      <w:proofErr w:type="spellEnd"/>
      <w:r w:rsidRPr="00EC1119">
        <w:rPr>
          <w:sz w:val="24"/>
          <w:szCs w:val="24"/>
          <w:lang w:val="es-CO"/>
        </w:rPr>
        <w:t>, Santa Anita, San Martin de Porras, Campo de Marte, San Borja, Ate, Villa María El Triunfo y Huachipa). Esta información abarca datos diarios de PM2.5, PM10.</w:t>
      </w:r>
    </w:p>
    <w:p w14:paraId="6EDF69ED" w14:textId="77777777" w:rsidR="00411A03" w:rsidRPr="00EC1119" w:rsidRDefault="00411A03" w:rsidP="00411A03">
      <w:pPr>
        <w:jc w:val="both"/>
        <w:rPr>
          <w:sz w:val="24"/>
          <w:szCs w:val="24"/>
          <w:lang w:val="es-CO"/>
        </w:rPr>
      </w:pPr>
      <w:r w:rsidRPr="00EC1119">
        <w:rPr>
          <w:sz w:val="24"/>
          <w:szCs w:val="24"/>
          <w:lang w:val="es-CO"/>
        </w:rPr>
        <w:t xml:space="preserve">En la fase inicial de nuestra investigación, se realizó un minucioso examen de 348 variables con el fin de determinar su idoneidad para el análisis propuesto. Este procedimiento incluyó un diagnóstico detallado para identificar las variables que cumplían con los criterios de selección establecidos. Una parte crucial de este proceso fue la evaluación exhaustiva de la integridad de los datos, llevada a cabo durante la etapa de depuración. En consecuencia, se decidió centrar el estudio en un conjunto de 6 compuestos por 5 variables explicativas denominadas 'X' y una variable dependiente </w:t>
      </w:r>
      <w:r w:rsidRPr="00EC1119">
        <w:rPr>
          <w:sz w:val="24"/>
          <w:szCs w:val="24"/>
          <w:lang w:val="es-CO"/>
        </w:rPr>
        <w:lastRenderedPageBreak/>
        <w:t xml:space="preserve">etiquetada como 'Y', utilizada para representar la variable de interés, que en este caso es la 'CALIDAD DEL AIRE'. </w:t>
      </w:r>
    </w:p>
    <w:p w14:paraId="0BEF9FCA" w14:textId="77777777" w:rsidR="00411A03" w:rsidRPr="00EC1119" w:rsidRDefault="00411A03" w:rsidP="00411A03">
      <w:pPr>
        <w:jc w:val="both"/>
        <w:rPr>
          <w:sz w:val="24"/>
          <w:szCs w:val="24"/>
          <w:lang w:val="es-CO"/>
        </w:rPr>
      </w:pPr>
      <w:r w:rsidRPr="00EC1119">
        <w:rPr>
          <w:sz w:val="24"/>
          <w:szCs w:val="24"/>
          <w:lang w:val="es-CO"/>
        </w:rPr>
        <w:t>La población son todas las concentraciones de PM2.5 obtenidas de las estaciones fijas de monitoreo, así como el índice normalizado los valores obtenidos del PM10. La Concentración de PM2.5 (media en 24 h) obtenida de las estaciones fijas de monitoreo del SENAMHI durante el año 2023. Los datos provienen de siete estaciones fijas que se muestran en la tabla 1.</w:t>
      </w:r>
    </w:p>
    <w:p w14:paraId="02D1B113" w14:textId="77777777" w:rsidR="00411A03" w:rsidRPr="00EC1119" w:rsidRDefault="00411A03" w:rsidP="00411A03">
      <w:pPr>
        <w:jc w:val="both"/>
        <w:rPr>
          <w:sz w:val="24"/>
          <w:szCs w:val="24"/>
          <w:lang w:val="es-CO"/>
        </w:rPr>
      </w:pPr>
    </w:p>
    <w:p w14:paraId="4182CB38" w14:textId="77777777" w:rsidR="00411A03" w:rsidRPr="00EC1119" w:rsidRDefault="00411A03" w:rsidP="00411A03">
      <w:pPr>
        <w:jc w:val="both"/>
        <w:rPr>
          <w:iCs/>
          <w:sz w:val="24"/>
          <w:szCs w:val="24"/>
          <w:lang w:val="es-CO"/>
        </w:rPr>
      </w:pPr>
      <w:r w:rsidRPr="00EC1119">
        <w:rPr>
          <w:b/>
          <w:bCs/>
          <w:sz w:val="24"/>
          <w:szCs w:val="24"/>
          <w:lang w:val="es-CO"/>
        </w:rPr>
        <w:t>Tabla 1.</w:t>
      </w:r>
      <w:r w:rsidRPr="00EC1119">
        <w:rPr>
          <w:sz w:val="24"/>
          <w:szCs w:val="24"/>
          <w:lang w:val="es-CO"/>
        </w:rPr>
        <w:t xml:space="preserve"> </w:t>
      </w:r>
      <w:r w:rsidRPr="00EC1119">
        <w:rPr>
          <w:iCs/>
          <w:sz w:val="24"/>
          <w:szCs w:val="24"/>
          <w:lang w:val="es-CO"/>
        </w:rPr>
        <w:t>Ubicación geográfica de estaciones fijas de monitoreo de calidad del aire en Lima Metropolitana</w:t>
      </w:r>
    </w:p>
    <w:tbl>
      <w:tblPr>
        <w:tblStyle w:val="Tablaconcuadrcula"/>
        <w:tblW w:w="0" w:type="auto"/>
        <w:jc w:val="center"/>
        <w:tblLook w:val="04A0" w:firstRow="1" w:lastRow="0" w:firstColumn="1" w:lastColumn="0" w:noHBand="0" w:noVBand="1"/>
      </w:tblPr>
      <w:tblGrid>
        <w:gridCol w:w="988"/>
        <w:gridCol w:w="2649"/>
        <w:gridCol w:w="2207"/>
        <w:gridCol w:w="2207"/>
      </w:tblGrid>
      <w:tr w:rsidR="00411A03" w:rsidRPr="00EC1119" w14:paraId="7D1538BC" w14:textId="77777777" w:rsidTr="00F53AB3">
        <w:trPr>
          <w:jc w:val="center"/>
        </w:trPr>
        <w:tc>
          <w:tcPr>
            <w:tcW w:w="988" w:type="dxa"/>
          </w:tcPr>
          <w:p w14:paraId="51BAE85B" w14:textId="77777777" w:rsidR="00411A03" w:rsidRPr="00EC1119" w:rsidRDefault="00411A03" w:rsidP="00F53AB3">
            <w:pPr>
              <w:jc w:val="center"/>
              <w:rPr>
                <w:sz w:val="24"/>
                <w:szCs w:val="24"/>
              </w:rPr>
            </w:pPr>
            <w:r w:rsidRPr="00EC1119">
              <w:rPr>
                <w:sz w:val="24"/>
                <w:szCs w:val="24"/>
              </w:rPr>
              <w:t>Código</w:t>
            </w:r>
          </w:p>
        </w:tc>
        <w:tc>
          <w:tcPr>
            <w:tcW w:w="2649" w:type="dxa"/>
          </w:tcPr>
          <w:p w14:paraId="0A70C0B5" w14:textId="77777777" w:rsidR="00411A03" w:rsidRPr="00EC1119" w:rsidRDefault="00411A03" w:rsidP="00F53AB3">
            <w:pPr>
              <w:jc w:val="center"/>
              <w:rPr>
                <w:sz w:val="24"/>
                <w:szCs w:val="24"/>
              </w:rPr>
            </w:pPr>
            <w:r w:rsidRPr="00EC1119">
              <w:rPr>
                <w:sz w:val="24"/>
                <w:szCs w:val="24"/>
              </w:rPr>
              <w:t>Distrito</w:t>
            </w:r>
          </w:p>
        </w:tc>
        <w:tc>
          <w:tcPr>
            <w:tcW w:w="2207" w:type="dxa"/>
          </w:tcPr>
          <w:p w14:paraId="229D8479" w14:textId="77777777" w:rsidR="00411A03" w:rsidRPr="00EC1119" w:rsidRDefault="00411A03" w:rsidP="00F53AB3">
            <w:pPr>
              <w:jc w:val="center"/>
              <w:rPr>
                <w:sz w:val="24"/>
                <w:szCs w:val="24"/>
              </w:rPr>
            </w:pPr>
            <w:r w:rsidRPr="00EC1119">
              <w:rPr>
                <w:sz w:val="24"/>
                <w:szCs w:val="24"/>
              </w:rPr>
              <w:t>Latitud</w:t>
            </w:r>
          </w:p>
        </w:tc>
        <w:tc>
          <w:tcPr>
            <w:tcW w:w="2207" w:type="dxa"/>
          </w:tcPr>
          <w:p w14:paraId="0FEFC996" w14:textId="77777777" w:rsidR="00411A03" w:rsidRPr="00EC1119" w:rsidRDefault="00411A03" w:rsidP="00F53AB3">
            <w:pPr>
              <w:jc w:val="center"/>
              <w:rPr>
                <w:sz w:val="24"/>
                <w:szCs w:val="24"/>
              </w:rPr>
            </w:pPr>
            <w:r w:rsidRPr="00EC1119">
              <w:rPr>
                <w:sz w:val="24"/>
                <w:szCs w:val="24"/>
              </w:rPr>
              <w:t>Longitud</w:t>
            </w:r>
          </w:p>
        </w:tc>
      </w:tr>
      <w:tr w:rsidR="00411A03" w:rsidRPr="00EC1119" w14:paraId="2208B4AD" w14:textId="77777777" w:rsidTr="00F53AB3">
        <w:trPr>
          <w:jc w:val="center"/>
        </w:trPr>
        <w:tc>
          <w:tcPr>
            <w:tcW w:w="988" w:type="dxa"/>
          </w:tcPr>
          <w:p w14:paraId="322E7BCF" w14:textId="77777777" w:rsidR="00411A03" w:rsidRPr="00EC1119" w:rsidRDefault="00411A03" w:rsidP="00F53AB3">
            <w:pPr>
              <w:jc w:val="both"/>
              <w:rPr>
                <w:sz w:val="24"/>
                <w:szCs w:val="24"/>
              </w:rPr>
            </w:pPr>
            <w:r w:rsidRPr="00EC1119">
              <w:rPr>
                <w:sz w:val="24"/>
                <w:szCs w:val="24"/>
              </w:rPr>
              <w:t>E1</w:t>
            </w:r>
          </w:p>
        </w:tc>
        <w:tc>
          <w:tcPr>
            <w:tcW w:w="2649" w:type="dxa"/>
          </w:tcPr>
          <w:p w14:paraId="3C508340" w14:textId="77777777" w:rsidR="00411A03" w:rsidRPr="00EC1119" w:rsidRDefault="00411A03" w:rsidP="00F53AB3">
            <w:pPr>
              <w:jc w:val="both"/>
              <w:rPr>
                <w:sz w:val="24"/>
                <w:szCs w:val="24"/>
              </w:rPr>
            </w:pPr>
            <w:r w:rsidRPr="00EC1119">
              <w:rPr>
                <w:sz w:val="24"/>
                <w:szCs w:val="24"/>
              </w:rPr>
              <w:t>San Juan de Lurigancho</w:t>
            </w:r>
          </w:p>
        </w:tc>
        <w:tc>
          <w:tcPr>
            <w:tcW w:w="2207" w:type="dxa"/>
          </w:tcPr>
          <w:p w14:paraId="77C7F9ED"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01</w:t>
            </w:r>
            <w:r w:rsidRPr="00EC1119">
              <w:rPr>
                <w:sz w:val="24"/>
                <w:szCs w:val="24"/>
                <w:vertAlign w:val="superscript"/>
              </w:rPr>
              <w:t>!</w:t>
            </w:r>
            <w:r w:rsidRPr="00EC1119">
              <w:rPr>
                <w:sz w:val="24"/>
                <w:szCs w:val="24"/>
              </w:rPr>
              <w:t xml:space="preserve"> ¨S¨</w:t>
            </w:r>
          </w:p>
        </w:tc>
        <w:tc>
          <w:tcPr>
            <w:tcW w:w="2207" w:type="dxa"/>
          </w:tcPr>
          <w:p w14:paraId="4DCBE478" w14:textId="77777777" w:rsidR="00411A03" w:rsidRPr="00EC1119" w:rsidRDefault="00411A03" w:rsidP="00F53AB3">
            <w:pPr>
              <w:jc w:val="center"/>
              <w:rPr>
                <w:sz w:val="24"/>
                <w:szCs w:val="24"/>
              </w:rPr>
            </w:pPr>
            <w:r w:rsidRPr="00EC1119">
              <w:rPr>
                <w:sz w:val="24"/>
                <w:szCs w:val="24"/>
              </w:rPr>
              <w:t>76</w:t>
            </w:r>
            <w:r w:rsidRPr="00EC1119">
              <w:rPr>
                <w:sz w:val="24"/>
                <w:szCs w:val="24"/>
                <w:vertAlign w:val="superscript"/>
              </w:rPr>
              <w:t xml:space="preserve">o </w:t>
            </w:r>
            <w:r w:rsidRPr="00EC1119">
              <w:rPr>
                <w:sz w:val="24"/>
                <w:szCs w:val="24"/>
              </w:rPr>
              <w:t>59</w:t>
            </w:r>
            <w:r w:rsidRPr="00EC1119">
              <w:rPr>
                <w:sz w:val="24"/>
                <w:szCs w:val="24"/>
                <w:vertAlign w:val="superscript"/>
              </w:rPr>
              <w:t>!</w:t>
            </w:r>
            <w:r w:rsidRPr="00EC1119">
              <w:rPr>
                <w:sz w:val="24"/>
                <w:szCs w:val="24"/>
              </w:rPr>
              <w:t xml:space="preserve"> ¨W¨</w:t>
            </w:r>
          </w:p>
        </w:tc>
      </w:tr>
      <w:tr w:rsidR="00411A03" w:rsidRPr="00EC1119" w14:paraId="002B88BD" w14:textId="77777777" w:rsidTr="00F53AB3">
        <w:trPr>
          <w:jc w:val="center"/>
        </w:trPr>
        <w:tc>
          <w:tcPr>
            <w:tcW w:w="988" w:type="dxa"/>
          </w:tcPr>
          <w:p w14:paraId="43080599" w14:textId="77777777" w:rsidR="00411A03" w:rsidRPr="00EC1119" w:rsidRDefault="00411A03" w:rsidP="00F53AB3">
            <w:pPr>
              <w:jc w:val="both"/>
              <w:rPr>
                <w:sz w:val="24"/>
                <w:szCs w:val="24"/>
              </w:rPr>
            </w:pPr>
            <w:r w:rsidRPr="00EC1119">
              <w:rPr>
                <w:sz w:val="24"/>
                <w:szCs w:val="24"/>
              </w:rPr>
              <w:t>E2</w:t>
            </w:r>
          </w:p>
        </w:tc>
        <w:tc>
          <w:tcPr>
            <w:tcW w:w="2649" w:type="dxa"/>
          </w:tcPr>
          <w:p w14:paraId="25CB93A1" w14:textId="77777777" w:rsidR="00411A03" w:rsidRPr="00EC1119" w:rsidRDefault="00411A03" w:rsidP="00F53AB3">
            <w:pPr>
              <w:jc w:val="both"/>
              <w:rPr>
                <w:sz w:val="24"/>
                <w:szCs w:val="24"/>
              </w:rPr>
            </w:pPr>
            <w:r w:rsidRPr="00EC1119">
              <w:rPr>
                <w:sz w:val="24"/>
                <w:szCs w:val="24"/>
              </w:rPr>
              <w:t>Puente Piedra</w:t>
            </w:r>
          </w:p>
        </w:tc>
        <w:tc>
          <w:tcPr>
            <w:tcW w:w="2207" w:type="dxa"/>
          </w:tcPr>
          <w:p w14:paraId="0DEB4130" w14:textId="77777777" w:rsidR="00411A03" w:rsidRPr="00EC1119" w:rsidRDefault="00411A03" w:rsidP="00F53AB3">
            <w:pPr>
              <w:jc w:val="center"/>
              <w:rPr>
                <w:sz w:val="24"/>
                <w:szCs w:val="24"/>
              </w:rPr>
            </w:pPr>
            <w:r w:rsidRPr="00EC1119">
              <w:rPr>
                <w:sz w:val="24"/>
                <w:szCs w:val="24"/>
              </w:rPr>
              <w:t>11</w:t>
            </w:r>
            <w:r w:rsidRPr="00EC1119">
              <w:rPr>
                <w:sz w:val="24"/>
                <w:szCs w:val="24"/>
                <w:vertAlign w:val="superscript"/>
              </w:rPr>
              <w:t xml:space="preserve">o </w:t>
            </w:r>
            <w:r w:rsidRPr="00EC1119">
              <w:rPr>
                <w:sz w:val="24"/>
                <w:szCs w:val="24"/>
              </w:rPr>
              <w:t>55</w:t>
            </w:r>
            <w:r w:rsidRPr="00EC1119">
              <w:rPr>
                <w:sz w:val="24"/>
                <w:szCs w:val="24"/>
                <w:vertAlign w:val="superscript"/>
              </w:rPr>
              <w:t>!</w:t>
            </w:r>
            <w:r w:rsidRPr="00EC1119">
              <w:rPr>
                <w:sz w:val="24"/>
                <w:szCs w:val="24"/>
              </w:rPr>
              <w:t xml:space="preserve"> ¨S¨</w:t>
            </w:r>
          </w:p>
        </w:tc>
        <w:tc>
          <w:tcPr>
            <w:tcW w:w="2207" w:type="dxa"/>
          </w:tcPr>
          <w:p w14:paraId="15307CAC" w14:textId="77777777" w:rsidR="00411A03" w:rsidRPr="00EC1119" w:rsidRDefault="00411A03" w:rsidP="00F53AB3">
            <w:pPr>
              <w:jc w:val="center"/>
              <w:rPr>
                <w:sz w:val="24"/>
                <w:szCs w:val="24"/>
              </w:rPr>
            </w:pPr>
            <w:r w:rsidRPr="00EC1119">
              <w:rPr>
                <w:sz w:val="24"/>
                <w:szCs w:val="24"/>
              </w:rPr>
              <w:t>77</w:t>
            </w:r>
            <w:r w:rsidRPr="00EC1119">
              <w:rPr>
                <w:sz w:val="24"/>
                <w:szCs w:val="24"/>
                <w:vertAlign w:val="superscript"/>
              </w:rPr>
              <w:t xml:space="preserve">o </w:t>
            </w:r>
            <w:r w:rsidRPr="00EC1119">
              <w:rPr>
                <w:sz w:val="24"/>
                <w:szCs w:val="24"/>
              </w:rPr>
              <w:t>05</w:t>
            </w:r>
            <w:r w:rsidRPr="00EC1119">
              <w:rPr>
                <w:sz w:val="24"/>
                <w:szCs w:val="24"/>
                <w:vertAlign w:val="superscript"/>
              </w:rPr>
              <w:t>!</w:t>
            </w:r>
            <w:r w:rsidRPr="00EC1119">
              <w:rPr>
                <w:sz w:val="24"/>
                <w:szCs w:val="24"/>
              </w:rPr>
              <w:t xml:space="preserve"> ¨W¨</w:t>
            </w:r>
          </w:p>
        </w:tc>
      </w:tr>
      <w:tr w:rsidR="00411A03" w:rsidRPr="00EC1119" w14:paraId="2AD2B84B" w14:textId="77777777" w:rsidTr="00F53AB3">
        <w:trPr>
          <w:jc w:val="center"/>
        </w:trPr>
        <w:tc>
          <w:tcPr>
            <w:tcW w:w="988" w:type="dxa"/>
          </w:tcPr>
          <w:p w14:paraId="21295B42" w14:textId="77777777" w:rsidR="00411A03" w:rsidRPr="00EC1119" w:rsidRDefault="00411A03" w:rsidP="00F53AB3">
            <w:pPr>
              <w:jc w:val="both"/>
              <w:rPr>
                <w:sz w:val="24"/>
                <w:szCs w:val="24"/>
              </w:rPr>
            </w:pPr>
            <w:r w:rsidRPr="00EC1119">
              <w:rPr>
                <w:sz w:val="24"/>
                <w:szCs w:val="24"/>
              </w:rPr>
              <w:t>E3</w:t>
            </w:r>
          </w:p>
        </w:tc>
        <w:tc>
          <w:tcPr>
            <w:tcW w:w="2649" w:type="dxa"/>
          </w:tcPr>
          <w:p w14:paraId="4A9EA6FA" w14:textId="77777777" w:rsidR="00411A03" w:rsidRPr="00EC1119" w:rsidRDefault="00411A03" w:rsidP="00F53AB3">
            <w:pPr>
              <w:jc w:val="both"/>
              <w:rPr>
                <w:sz w:val="24"/>
                <w:szCs w:val="24"/>
              </w:rPr>
            </w:pPr>
            <w:proofErr w:type="spellStart"/>
            <w:r w:rsidRPr="00EC1119">
              <w:rPr>
                <w:sz w:val="24"/>
                <w:szCs w:val="24"/>
              </w:rPr>
              <w:t>Carabayllo</w:t>
            </w:r>
            <w:proofErr w:type="spellEnd"/>
          </w:p>
        </w:tc>
        <w:tc>
          <w:tcPr>
            <w:tcW w:w="2207" w:type="dxa"/>
          </w:tcPr>
          <w:p w14:paraId="4378AF4B" w14:textId="77777777" w:rsidR="00411A03" w:rsidRPr="00EC1119" w:rsidRDefault="00411A03" w:rsidP="00F53AB3">
            <w:pPr>
              <w:jc w:val="center"/>
              <w:rPr>
                <w:sz w:val="24"/>
                <w:szCs w:val="24"/>
              </w:rPr>
            </w:pPr>
            <w:r w:rsidRPr="00EC1119">
              <w:rPr>
                <w:sz w:val="24"/>
                <w:szCs w:val="24"/>
              </w:rPr>
              <w:t>11</w:t>
            </w:r>
            <w:r w:rsidRPr="00EC1119">
              <w:rPr>
                <w:sz w:val="24"/>
                <w:szCs w:val="24"/>
                <w:vertAlign w:val="superscript"/>
              </w:rPr>
              <w:t xml:space="preserve">o </w:t>
            </w:r>
            <w:r w:rsidRPr="00EC1119">
              <w:rPr>
                <w:sz w:val="24"/>
                <w:szCs w:val="24"/>
              </w:rPr>
              <w:t>54</w:t>
            </w:r>
            <w:r w:rsidRPr="00EC1119">
              <w:rPr>
                <w:sz w:val="24"/>
                <w:szCs w:val="24"/>
                <w:vertAlign w:val="superscript"/>
              </w:rPr>
              <w:t>!</w:t>
            </w:r>
            <w:r w:rsidRPr="00EC1119">
              <w:rPr>
                <w:sz w:val="24"/>
                <w:szCs w:val="24"/>
              </w:rPr>
              <w:t xml:space="preserve"> ¨S¨</w:t>
            </w:r>
          </w:p>
        </w:tc>
        <w:tc>
          <w:tcPr>
            <w:tcW w:w="2207" w:type="dxa"/>
          </w:tcPr>
          <w:p w14:paraId="07E9AE5C" w14:textId="77777777" w:rsidR="00411A03" w:rsidRPr="00EC1119" w:rsidRDefault="00411A03" w:rsidP="00F53AB3">
            <w:pPr>
              <w:jc w:val="center"/>
              <w:rPr>
                <w:sz w:val="24"/>
                <w:szCs w:val="24"/>
              </w:rPr>
            </w:pPr>
            <w:r w:rsidRPr="00EC1119">
              <w:rPr>
                <w:sz w:val="24"/>
                <w:szCs w:val="24"/>
              </w:rPr>
              <w:t>77</w:t>
            </w:r>
            <w:r w:rsidRPr="00EC1119">
              <w:rPr>
                <w:sz w:val="24"/>
                <w:szCs w:val="24"/>
                <w:vertAlign w:val="superscript"/>
              </w:rPr>
              <w:t xml:space="preserve">o </w:t>
            </w:r>
            <w:r w:rsidRPr="00EC1119">
              <w:rPr>
                <w:sz w:val="24"/>
                <w:szCs w:val="24"/>
              </w:rPr>
              <w:t>02</w:t>
            </w:r>
            <w:r w:rsidRPr="00EC1119">
              <w:rPr>
                <w:sz w:val="24"/>
                <w:szCs w:val="24"/>
                <w:vertAlign w:val="superscript"/>
              </w:rPr>
              <w:t>!</w:t>
            </w:r>
            <w:r w:rsidRPr="00EC1119">
              <w:rPr>
                <w:sz w:val="24"/>
                <w:szCs w:val="24"/>
              </w:rPr>
              <w:t xml:space="preserve"> ¨W¨</w:t>
            </w:r>
          </w:p>
        </w:tc>
      </w:tr>
      <w:tr w:rsidR="00411A03" w:rsidRPr="00EC1119" w14:paraId="072C970A" w14:textId="77777777" w:rsidTr="00F53AB3">
        <w:trPr>
          <w:jc w:val="center"/>
        </w:trPr>
        <w:tc>
          <w:tcPr>
            <w:tcW w:w="988" w:type="dxa"/>
          </w:tcPr>
          <w:p w14:paraId="70F4E9EA" w14:textId="77777777" w:rsidR="00411A03" w:rsidRPr="00EC1119" w:rsidRDefault="00411A03" w:rsidP="00F53AB3">
            <w:pPr>
              <w:jc w:val="both"/>
              <w:rPr>
                <w:sz w:val="24"/>
                <w:szCs w:val="24"/>
              </w:rPr>
            </w:pPr>
            <w:r w:rsidRPr="00EC1119">
              <w:rPr>
                <w:sz w:val="24"/>
                <w:szCs w:val="24"/>
              </w:rPr>
              <w:t>E4</w:t>
            </w:r>
          </w:p>
        </w:tc>
        <w:tc>
          <w:tcPr>
            <w:tcW w:w="2649" w:type="dxa"/>
          </w:tcPr>
          <w:p w14:paraId="7EBE9996" w14:textId="77777777" w:rsidR="00411A03" w:rsidRPr="00EC1119" w:rsidRDefault="00411A03" w:rsidP="00F53AB3">
            <w:pPr>
              <w:jc w:val="both"/>
              <w:rPr>
                <w:sz w:val="24"/>
                <w:szCs w:val="24"/>
              </w:rPr>
            </w:pPr>
            <w:r w:rsidRPr="00EC1119">
              <w:rPr>
                <w:sz w:val="24"/>
                <w:szCs w:val="24"/>
              </w:rPr>
              <w:t>Santa Anita</w:t>
            </w:r>
          </w:p>
        </w:tc>
        <w:tc>
          <w:tcPr>
            <w:tcW w:w="2207" w:type="dxa"/>
          </w:tcPr>
          <w:p w14:paraId="7116F8C4"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02</w:t>
            </w:r>
            <w:r w:rsidRPr="00EC1119">
              <w:rPr>
                <w:sz w:val="24"/>
                <w:szCs w:val="24"/>
                <w:vertAlign w:val="superscript"/>
              </w:rPr>
              <w:t>!</w:t>
            </w:r>
            <w:r w:rsidRPr="00EC1119">
              <w:rPr>
                <w:sz w:val="24"/>
                <w:szCs w:val="24"/>
              </w:rPr>
              <w:t xml:space="preserve"> ¨S¨</w:t>
            </w:r>
          </w:p>
        </w:tc>
        <w:tc>
          <w:tcPr>
            <w:tcW w:w="2207" w:type="dxa"/>
          </w:tcPr>
          <w:p w14:paraId="195258FD" w14:textId="77777777" w:rsidR="00411A03" w:rsidRPr="00EC1119" w:rsidRDefault="00411A03" w:rsidP="00F53AB3">
            <w:pPr>
              <w:jc w:val="center"/>
              <w:rPr>
                <w:sz w:val="24"/>
                <w:szCs w:val="24"/>
              </w:rPr>
            </w:pPr>
            <w:r w:rsidRPr="00EC1119">
              <w:rPr>
                <w:sz w:val="24"/>
                <w:szCs w:val="24"/>
              </w:rPr>
              <w:t>76</w:t>
            </w:r>
            <w:r w:rsidRPr="00EC1119">
              <w:rPr>
                <w:sz w:val="24"/>
                <w:szCs w:val="24"/>
                <w:vertAlign w:val="superscript"/>
              </w:rPr>
              <w:t xml:space="preserve">o </w:t>
            </w:r>
            <w:r w:rsidRPr="00EC1119">
              <w:rPr>
                <w:sz w:val="24"/>
                <w:szCs w:val="24"/>
              </w:rPr>
              <w:t>58</w:t>
            </w:r>
            <w:r w:rsidRPr="00EC1119">
              <w:rPr>
                <w:sz w:val="24"/>
                <w:szCs w:val="24"/>
                <w:vertAlign w:val="superscript"/>
              </w:rPr>
              <w:t>!</w:t>
            </w:r>
            <w:r w:rsidRPr="00EC1119">
              <w:rPr>
                <w:sz w:val="24"/>
                <w:szCs w:val="24"/>
              </w:rPr>
              <w:t xml:space="preserve"> ¨W¨</w:t>
            </w:r>
          </w:p>
        </w:tc>
      </w:tr>
      <w:tr w:rsidR="00411A03" w:rsidRPr="00EC1119" w14:paraId="246AB59A" w14:textId="77777777" w:rsidTr="00F53AB3">
        <w:trPr>
          <w:jc w:val="center"/>
        </w:trPr>
        <w:tc>
          <w:tcPr>
            <w:tcW w:w="988" w:type="dxa"/>
          </w:tcPr>
          <w:p w14:paraId="54AB05CA" w14:textId="77777777" w:rsidR="00411A03" w:rsidRPr="00EC1119" w:rsidRDefault="00411A03" w:rsidP="00F53AB3">
            <w:pPr>
              <w:jc w:val="both"/>
              <w:rPr>
                <w:sz w:val="24"/>
                <w:szCs w:val="24"/>
              </w:rPr>
            </w:pPr>
            <w:r w:rsidRPr="00EC1119">
              <w:rPr>
                <w:sz w:val="24"/>
                <w:szCs w:val="24"/>
              </w:rPr>
              <w:t>E5</w:t>
            </w:r>
          </w:p>
        </w:tc>
        <w:tc>
          <w:tcPr>
            <w:tcW w:w="2649" w:type="dxa"/>
          </w:tcPr>
          <w:p w14:paraId="400A0833" w14:textId="77777777" w:rsidR="00411A03" w:rsidRPr="00EC1119" w:rsidRDefault="00411A03" w:rsidP="00F53AB3">
            <w:pPr>
              <w:jc w:val="both"/>
              <w:rPr>
                <w:sz w:val="24"/>
                <w:szCs w:val="24"/>
              </w:rPr>
            </w:pPr>
            <w:r w:rsidRPr="00EC1119">
              <w:rPr>
                <w:sz w:val="24"/>
                <w:szCs w:val="24"/>
              </w:rPr>
              <w:t>San Martin de Porras</w:t>
            </w:r>
          </w:p>
        </w:tc>
        <w:tc>
          <w:tcPr>
            <w:tcW w:w="2207" w:type="dxa"/>
          </w:tcPr>
          <w:p w14:paraId="5BE962FE" w14:textId="77777777" w:rsidR="00411A03" w:rsidRPr="00EC1119" w:rsidRDefault="00411A03" w:rsidP="00F53AB3">
            <w:pPr>
              <w:jc w:val="center"/>
              <w:rPr>
                <w:sz w:val="24"/>
                <w:szCs w:val="24"/>
              </w:rPr>
            </w:pPr>
            <w:r w:rsidRPr="00EC1119">
              <w:rPr>
                <w:sz w:val="24"/>
                <w:szCs w:val="24"/>
              </w:rPr>
              <w:t>11</w:t>
            </w:r>
            <w:r w:rsidRPr="00EC1119">
              <w:rPr>
                <w:sz w:val="24"/>
                <w:szCs w:val="24"/>
                <w:vertAlign w:val="superscript"/>
              </w:rPr>
              <w:t xml:space="preserve">o </w:t>
            </w:r>
            <w:r w:rsidRPr="00EC1119">
              <w:rPr>
                <w:sz w:val="24"/>
                <w:szCs w:val="24"/>
              </w:rPr>
              <w:t>58</w:t>
            </w:r>
            <w:r w:rsidRPr="00EC1119">
              <w:rPr>
                <w:sz w:val="24"/>
                <w:szCs w:val="24"/>
                <w:vertAlign w:val="superscript"/>
              </w:rPr>
              <w:t>!</w:t>
            </w:r>
            <w:r w:rsidRPr="00EC1119">
              <w:rPr>
                <w:sz w:val="24"/>
                <w:szCs w:val="24"/>
              </w:rPr>
              <w:t xml:space="preserve"> ¨S¨</w:t>
            </w:r>
          </w:p>
        </w:tc>
        <w:tc>
          <w:tcPr>
            <w:tcW w:w="2207" w:type="dxa"/>
          </w:tcPr>
          <w:p w14:paraId="23879BA4" w14:textId="77777777" w:rsidR="00411A03" w:rsidRPr="00EC1119" w:rsidRDefault="00411A03" w:rsidP="00F53AB3">
            <w:pPr>
              <w:jc w:val="center"/>
              <w:rPr>
                <w:sz w:val="24"/>
                <w:szCs w:val="24"/>
              </w:rPr>
            </w:pPr>
            <w:r w:rsidRPr="00EC1119">
              <w:rPr>
                <w:sz w:val="24"/>
                <w:szCs w:val="24"/>
              </w:rPr>
              <w:t>77</w:t>
            </w:r>
            <w:r w:rsidRPr="00EC1119">
              <w:rPr>
                <w:sz w:val="24"/>
                <w:szCs w:val="24"/>
                <w:vertAlign w:val="superscript"/>
              </w:rPr>
              <w:t xml:space="preserve">o </w:t>
            </w:r>
            <w:r w:rsidRPr="00EC1119">
              <w:rPr>
                <w:sz w:val="24"/>
                <w:szCs w:val="24"/>
              </w:rPr>
              <w:t>04</w:t>
            </w:r>
            <w:r w:rsidRPr="00EC1119">
              <w:rPr>
                <w:sz w:val="24"/>
                <w:szCs w:val="24"/>
                <w:vertAlign w:val="superscript"/>
              </w:rPr>
              <w:t>!</w:t>
            </w:r>
            <w:r w:rsidRPr="00EC1119">
              <w:rPr>
                <w:sz w:val="24"/>
                <w:szCs w:val="24"/>
              </w:rPr>
              <w:t xml:space="preserve"> ¨W¨</w:t>
            </w:r>
          </w:p>
        </w:tc>
      </w:tr>
      <w:tr w:rsidR="00411A03" w:rsidRPr="00EC1119" w14:paraId="75EB2F93" w14:textId="77777777" w:rsidTr="00F53AB3">
        <w:trPr>
          <w:jc w:val="center"/>
        </w:trPr>
        <w:tc>
          <w:tcPr>
            <w:tcW w:w="988" w:type="dxa"/>
          </w:tcPr>
          <w:p w14:paraId="2CC59250" w14:textId="77777777" w:rsidR="00411A03" w:rsidRPr="00EC1119" w:rsidRDefault="00411A03" w:rsidP="00F53AB3">
            <w:pPr>
              <w:jc w:val="both"/>
              <w:rPr>
                <w:sz w:val="24"/>
                <w:szCs w:val="24"/>
              </w:rPr>
            </w:pPr>
            <w:r w:rsidRPr="00EC1119">
              <w:rPr>
                <w:sz w:val="24"/>
                <w:szCs w:val="24"/>
              </w:rPr>
              <w:t>E6</w:t>
            </w:r>
          </w:p>
        </w:tc>
        <w:tc>
          <w:tcPr>
            <w:tcW w:w="2649" w:type="dxa"/>
          </w:tcPr>
          <w:p w14:paraId="328AD7D6" w14:textId="77777777" w:rsidR="00411A03" w:rsidRPr="00EC1119" w:rsidRDefault="00411A03" w:rsidP="00F53AB3">
            <w:pPr>
              <w:jc w:val="both"/>
              <w:rPr>
                <w:sz w:val="24"/>
                <w:szCs w:val="24"/>
              </w:rPr>
            </w:pPr>
            <w:r w:rsidRPr="00EC1119">
              <w:rPr>
                <w:sz w:val="24"/>
                <w:szCs w:val="24"/>
              </w:rPr>
              <w:t>Campo de Marte</w:t>
            </w:r>
          </w:p>
        </w:tc>
        <w:tc>
          <w:tcPr>
            <w:tcW w:w="2207" w:type="dxa"/>
          </w:tcPr>
          <w:p w14:paraId="1386FF3E"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04</w:t>
            </w:r>
            <w:r w:rsidRPr="00EC1119">
              <w:rPr>
                <w:sz w:val="24"/>
                <w:szCs w:val="24"/>
                <w:vertAlign w:val="superscript"/>
              </w:rPr>
              <w:t>!</w:t>
            </w:r>
            <w:r w:rsidRPr="00EC1119">
              <w:rPr>
                <w:sz w:val="24"/>
                <w:szCs w:val="24"/>
              </w:rPr>
              <w:t xml:space="preserve"> ¨S¨</w:t>
            </w:r>
          </w:p>
        </w:tc>
        <w:tc>
          <w:tcPr>
            <w:tcW w:w="2207" w:type="dxa"/>
          </w:tcPr>
          <w:p w14:paraId="3CFAA07A" w14:textId="77777777" w:rsidR="00411A03" w:rsidRPr="00EC1119" w:rsidRDefault="00411A03" w:rsidP="00F53AB3">
            <w:pPr>
              <w:jc w:val="center"/>
              <w:rPr>
                <w:sz w:val="24"/>
                <w:szCs w:val="24"/>
              </w:rPr>
            </w:pPr>
            <w:r w:rsidRPr="00EC1119">
              <w:rPr>
                <w:sz w:val="24"/>
                <w:szCs w:val="24"/>
              </w:rPr>
              <w:t>77</w:t>
            </w:r>
            <w:r w:rsidRPr="00EC1119">
              <w:rPr>
                <w:sz w:val="24"/>
                <w:szCs w:val="24"/>
                <w:vertAlign w:val="superscript"/>
              </w:rPr>
              <w:t xml:space="preserve">o </w:t>
            </w:r>
            <w:r w:rsidRPr="00EC1119">
              <w:rPr>
                <w:sz w:val="24"/>
                <w:szCs w:val="24"/>
              </w:rPr>
              <w:t>02</w:t>
            </w:r>
            <w:r w:rsidRPr="00EC1119">
              <w:rPr>
                <w:sz w:val="24"/>
                <w:szCs w:val="24"/>
                <w:vertAlign w:val="superscript"/>
              </w:rPr>
              <w:t>!</w:t>
            </w:r>
            <w:r w:rsidRPr="00EC1119">
              <w:rPr>
                <w:sz w:val="24"/>
                <w:szCs w:val="24"/>
              </w:rPr>
              <w:t xml:space="preserve"> ¨W¨</w:t>
            </w:r>
          </w:p>
        </w:tc>
      </w:tr>
      <w:tr w:rsidR="00411A03" w:rsidRPr="00EC1119" w14:paraId="1129E050" w14:textId="77777777" w:rsidTr="00F53AB3">
        <w:trPr>
          <w:jc w:val="center"/>
        </w:trPr>
        <w:tc>
          <w:tcPr>
            <w:tcW w:w="988" w:type="dxa"/>
          </w:tcPr>
          <w:p w14:paraId="5A8D10A3" w14:textId="77777777" w:rsidR="00411A03" w:rsidRPr="00EC1119" w:rsidRDefault="00411A03" w:rsidP="00F53AB3">
            <w:pPr>
              <w:jc w:val="both"/>
              <w:rPr>
                <w:sz w:val="24"/>
                <w:szCs w:val="24"/>
              </w:rPr>
            </w:pPr>
            <w:r w:rsidRPr="00EC1119">
              <w:rPr>
                <w:sz w:val="24"/>
                <w:szCs w:val="24"/>
              </w:rPr>
              <w:t>E7</w:t>
            </w:r>
          </w:p>
        </w:tc>
        <w:tc>
          <w:tcPr>
            <w:tcW w:w="2649" w:type="dxa"/>
          </w:tcPr>
          <w:p w14:paraId="70C42F54" w14:textId="77777777" w:rsidR="00411A03" w:rsidRPr="00EC1119" w:rsidRDefault="00411A03" w:rsidP="00F53AB3">
            <w:pPr>
              <w:jc w:val="both"/>
              <w:rPr>
                <w:sz w:val="24"/>
                <w:szCs w:val="24"/>
              </w:rPr>
            </w:pPr>
            <w:r w:rsidRPr="00EC1119">
              <w:rPr>
                <w:sz w:val="24"/>
                <w:szCs w:val="24"/>
              </w:rPr>
              <w:t>San Borja</w:t>
            </w:r>
          </w:p>
        </w:tc>
        <w:tc>
          <w:tcPr>
            <w:tcW w:w="2207" w:type="dxa"/>
          </w:tcPr>
          <w:p w14:paraId="31589BDC"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06</w:t>
            </w:r>
            <w:r w:rsidRPr="00EC1119">
              <w:rPr>
                <w:sz w:val="24"/>
                <w:szCs w:val="24"/>
                <w:vertAlign w:val="superscript"/>
              </w:rPr>
              <w:t>!</w:t>
            </w:r>
            <w:r w:rsidRPr="00EC1119">
              <w:rPr>
                <w:sz w:val="24"/>
                <w:szCs w:val="24"/>
              </w:rPr>
              <w:t xml:space="preserve"> ¨S¨</w:t>
            </w:r>
          </w:p>
        </w:tc>
        <w:tc>
          <w:tcPr>
            <w:tcW w:w="2207" w:type="dxa"/>
          </w:tcPr>
          <w:p w14:paraId="2F600198" w14:textId="77777777" w:rsidR="00411A03" w:rsidRPr="00EC1119" w:rsidRDefault="00411A03" w:rsidP="00F53AB3">
            <w:pPr>
              <w:jc w:val="center"/>
              <w:rPr>
                <w:sz w:val="24"/>
                <w:szCs w:val="24"/>
              </w:rPr>
            </w:pPr>
            <w:r w:rsidRPr="00EC1119">
              <w:rPr>
                <w:sz w:val="24"/>
                <w:szCs w:val="24"/>
              </w:rPr>
              <w:t>77</w:t>
            </w:r>
            <w:r w:rsidRPr="00EC1119">
              <w:rPr>
                <w:sz w:val="24"/>
                <w:szCs w:val="24"/>
                <w:vertAlign w:val="superscript"/>
              </w:rPr>
              <w:t xml:space="preserve">o </w:t>
            </w:r>
            <w:r w:rsidRPr="00EC1119">
              <w:rPr>
                <w:sz w:val="24"/>
                <w:szCs w:val="24"/>
              </w:rPr>
              <w:t>00</w:t>
            </w:r>
            <w:r w:rsidRPr="00EC1119">
              <w:rPr>
                <w:sz w:val="24"/>
                <w:szCs w:val="24"/>
                <w:vertAlign w:val="superscript"/>
              </w:rPr>
              <w:t>!</w:t>
            </w:r>
            <w:r w:rsidRPr="00EC1119">
              <w:rPr>
                <w:sz w:val="24"/>
                <w:szCs w:val="24"/>
              </w:rPr>
              <w:t xml:space="preserve"> ¨W¨</w:t>
            </w:r>
          </w:p>
        </w:tc>
      </w:tr>
      <w:tr w:rsidR="00411A03" w:rsidRPr="00EC1119" w14:paraId="4E6B6B2F" w14:textId="77777777" w:rsidTr="00F53AB3">
        <w:trPr>
          <w:jc w:val="center"/>
        </w:trPr>
        <w:tc>
          <w:tcPr>
            <w:tcW w:w="988" w:type="dxa"/>
          </w:tcPr>
          <w:p w14:paraId="0E8F2A77" w14:textId="77777777" w:rsidR="00411A03" w:rsidRPr="00EC1119" w:rsidRDefault="00411A03" w:rsidP="00F53AB3">
            <w:pPr>
              <w:jc w:val="both"/>
              <w:rPr>
                <w:sz w:val="24"/>
                <w:szCs w:val="24"/>
              </w:rPr>
            </w:pPr>
            <w:r w:rsidRPr="00EC1119">
              <w:rPr>
                <w:sz w:val="24"/>
                <w:szCs w:val="24"/>
              </w:rPr>
              <w:t>E8</w:t>
            </w:r>
          </w:p>
        </w:tc>
        <w:tc>
          <w:tcPr>
            <w:tcW w:w="2649" w:type="dxa"/>
          </w:tcPr>
          <w:p w14:paraId="255CE30F" w14:textId="77777777" w:rsidR="00411A03" w:rsidRPr="00EC1119" w:rsidRDefault="00411A03" w:rsidP="00F53AB3">
            <w:pPr>
              <w:jc w:val="both"/>
              <w:rPr>
                <w:sz w:val="24"/>
                <w:szCs w:val="24"/>
              </w:rPr>
            </w:pPr>
            <w:r w:rsidRPr="00EC1119">
              <w:rPr>
                <w:sz w:val="24"/>
                <w:szCs w:val="24"/>
              </w:rPr>
              <w:t>Ate</w:t>
            </w:r>
          </w:p>
        </w:tc>
        <w:tc>
          <w:tcPr>
            <w:tcW w:w="2207" w:type="dxa"/>
          </w:tcPr>
          <w:p w14:paraId="777F8964"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01</w:t>
            </w:r>
            <w:r w:rsidRPr="00EC1119">
              <w:rPr>
                <w:sz w:val="24"/>
                <w:szCs w:val="24"/>
                <w:vertAlign w:val="superscript"/>
              </w:rPr>
              <w:t>!</w:t>
            </w:r>
            <w:r w:rsidRPr="00EC1119">
              <w:rPr>
                <w:sz w:val="24"/>
                <w:szCs w:val="24"/>
              </w:rPr>
              <w:t xml:space="preserve"> ¨S¨</w:t>
            </w:r>
          </w:p>
        </w:tc>
        <w:tc>
          <w:tcPr>
            <w:tcW w:w="2207" w:type="dxa"/>
          </w:tcPr>
          <w:p w14:paraId="72C6C473" w14:textId="77777777" w:rsidR="00411A03" w:rsidRPr="00EC1119" w:rsidRDefault="00411A03" w:rsidP="00F53AB3">
            <w:pPr>
              <w:jc w:val="center"/>
              <w:rPr>
                <w:sz w:val="24"/>
                <w:szCs w:val="24"/>
              </w:rPr>
            </w:pPr>
            <w:r w:rsidRPr="00EC1119">
              <w:rPr>
                <w:sz w:val="24"/>
                <w:szCs w:val="24"/>
              </w:rPr>
              <w:t>76</w:t>
            </w:r>
            <w:r w:rsidRPr="00EC1119">
              <w:rPr>
                <w:sz w:val="24"/>
                <w:szCs w:val="24"/>
                <w:vertAlign w:val="superscript"/>
              </w:rPr>
              <w:t xml:space="preserve">o </w:t>
            </w:r>
            <w:r w:rsidRPr="00EC1119">
              <w:rPr>
                <w:sz w:val="24"/>
                <w:szCs w:val="24"/>
              </w:rPr>
              <w:t>55</w:t>
            </w:r>
            <w:r w:rsidRPr="00EC1119">
              <w:rPr>
                <w:sz w:val="24"/>
                <w:szCs w:val="24"/>
                <w:vertAlign w:val="superscript"/>
              </w:rPr>
              <w:t>!</w:t>
            </w:r>
            <w:r w:rsidRPr="00EC1119">
              <w:rPr>
                <w:sz w:val="24"/>
                <w:szCs w:val="24"/>
              </w:rPr>
              <w:t xml:space="preserve"> ¨W¨</w:t>
            </w:r>
          </w:p>
        </w:tc>
      </w:tr>
      <w:tr w:rsidR="00411A03" w:rsidRPr="00EC1119" w14:paraId="21B911BC" w14:textId="77777777" w:rsidTr="00F53AB3">
        <w:trPr>
          <w:jc w:val="center"/>
        </w:trPr>
        <w:tc>
          <w:tcPr>
            <w:tcW w:w="988" w:type="dxa"/>
          </w:tcPr>
          <w:p w14:paraId="09FBCA36" w14:textId="77777777" w:rsidR="00411A03" w:rsidRPr="00EC1119" w:rsidRDefault="00411A03" w:rsidP="00F53AB3">
            <w:pPr>
              <w:jc w:val="both"/>
              <w:rPr>
                <w:sz w:val="24"/>
                <w:szCs w:val="24"/>
              </w:rPr>
            </w:pPr>
            <w:r w:rsidRPr="00EC1119">
              <w:rPr>
                <w:sz w:val="24"/>
                <w:szCs w:val="24"/>
              </w:rPr>
              <w:t>E9</w:t>
            </w:r>
          </w:p>
        </w:tc>
        <w:tc>
          <w:tcPr>
            <w:tcW w:w="2649" w:type="dxa"/>
          </w:tcPr>
          <w:p w14:paraId="1B892ED2" w14:textId="77777777" w:rsidR="00411A03" w:rsidRPr="00EC1119" w:rsidRDefault="00411A03" w:rsidP="00F53AB3">
            <w:pPr>
              <w:jc w:val="both"/>
              <w:rPr>
                <w:sz w:val="24"/>
                <w:szCs w:val="24"/>
              </w:rPr>
            </w:pPr>
            <w:r w:rsidRPr="00EC1119">
              <w:rPr>
                <w:sz w:val="24"/>
                <w:szCs w:val="24"/>
              </w:rPr>
              <w:t>Villa María El Triunfo</w:t>
            </w:r>
          </w:p>
        </w:tc>
        <w:tc>
          <w:tcPr>
            <w:tcW w:w="2207" w:type="dxa"/>
          </w:tcPr>
          <w:p w14:paraId="78D5E06A"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13</w:t>
            </w:r>
            <w:r w:rsidRPr="00EC1119">
              <w:rPr>
                <w:sz w:val="24"/>
                <w:szCs w:val="24"/>
                <w:vertAlign w:val="superscript"/>
              </w:rPr>
              <w:t>!</w:t>
            </w:r>
            <w:r w:rsidRPr="00EC1119">
              <w:rPr>
                <w:sz w:val="24"/>
                <w:szCs w:val="24"/>
              </w:rPr>
              <w:t xml:space="preserve"> ¨S¨</w:t>
            </w:r>
          </w:p>
        </w:tc>
        <w:tc>
          <w:tcPr>
            <w:tcW w:w="2207" w:type="dxa"/>
          </w:tcPr>
          <w:p w14:paraId="400F3034" w14:textId="77777777" w:rsidR="00411A03" w:rsidRPr="00EC1119" w:rsidRDefault="00411A03" w:rsidP="00F53AB3">
            <w:pPr>
              <w:jc w:val="center"/>
              <w:rPr>
                <w:sz w:val="24"/>
                <w:szCs w:val="24"/>
              </w:rPr>
            </w:pPr>
            <w:r w:rsidRPr="00EC1119">
              <w:rPr>
                <w:sz w:val="24"/>
                <w:szCs w:val="24"/>
              </w:rPr>
              <w:t>76</w:t>
            </w:r>
            <w:r w:rsidRPr="00EC1119">
              <w:rPr>
                <w:sz w:val="24"/>
                <w:szCs w:val="24"/>
                <w:vertAlign w:val="superscript"/>
              </w:rPr>
              <w:t xml:space="preserve">o </w:t>
            </w:r>
            <w:r w:rsidRPr="00EC1119">
              <w:rPr>
                <w:sz w:val="24"/>
                <w:szCs w:val="24"/>
              </w:rPr>
              <w:t>56</w:t>
            </w:r>
            <w:r w:rsidRPr="00EC1119">
              <w:rPr>
                <w:sz w:val="24"/>
                <w:szCs w:val="24"/>
                <w:vertAlign w:val="superscript"/>
              </w:rPr>
              <w:t>!</w:t>
            </w:r>
            <w:r w:rsidRPr="00EC1119">
              <w:rPr>
                <w:sz w:val="24"/>
                <w:szCs w:val="24"/>
              </w:rPr>
              <w:t xml:space="preserve"> ¨W¨</w:t>
            </w:r>
          </w:p>
        </w:tc>
      </w:tr>
      <w:tr w:rsidR="00411A03" w:rsidRPr="00EC1119" w14:paraId="430D05F1" w14:textId="77777777" w:rsidTr="00F53AB3">
        <w:trPr>
          <w:jc w:val="center"/>
        </w:trPr>
        <w:tc>
          <w:tcPr>
            <w:tcW w:w="988" w:type="dxa"/>
          </w:tcPr>
          <w:p w14:paraId="53EA20C7" w14:textId="77777777" w:rsidR="00411A03" w:rsidRPr="00EC1119" w:rsidRDefault="00411A03" w:rsidP="00F53AB3">
            <w:pPr>
              <w:jc w:val="both"/>
              <w:rPr>
                <w:sz w:val="24"/>
                <w:szCs w:val="24"/>
              </w:rPr>
            </w:pPr>
            <w:r w:rsidRPr="00EC1119">
              <w:rPr>
                <w:sz w:val="24"/>
                <w:szCs w:val="24"/>
              </w:rPr>
              <w:t>E10</w:t>
            </w:r>
          </w:p>
        </w:tc>
        <w:tc>
          <w:tcPr>
            <w:tcW w:w="2649" w:type="dxa"/>
          </w:tcPr>
          <w:p w14:paraId="57F85712" w14:textId="77777777" w:rsidR="00411A03" w:rsidRPr="00EC1119" w:rsidRDefault="00411A03" w:rsidP="00F53AB3">
            <w:pPr>
              <w:jc w:val="both"/>
              <w:rPr>
                <w:sz w:val="24"/>
                <w:szCs w:val="24"/>
              </w:rPr>
            </w:pPr>
            <w:r w:rsidRPr="00EC1119">
              <w:rPr>
                <w:sz w:val="24"/>
                <w:szCs w:val="24"/>
              </w:rPr>
              <w:t>Huachipa</w:t>
            </w:r>
          </w:p>
        </w:tc>
        <w:tc>
          <w:tcPr>
            <w:tcW w:w="2207" w:type="dxa"/>
          </w:tcPr>
          <w:p w14:paraId="6D313324" w14:textId="77777777" w:rsidR="00411A03" w:rsidRPr="00EC1119" w:rsidRDefault="00411A03" w:rsidP="00F53AB3">
            <w:pPr>
              <w:jc w:val="center"/>
              <w:rPr>
                <w:sz w:val="24"/>
                <w:szCs w:val="24"/>
              </w:rPr>
            </w:pPr>
            <w:r w:rsidRPr="00EC1119">
              <w:rPr>
                <w:sz w:val="24"/>
                <w:szCs w:val="24"/>
              </w:rPr>
              <w:t>12</w:t>
            </w:r>
            <w:r w:rsidRPr="00EC1119">
              <w:rPr>
                <w:sz w:val="24"/>
                <w:szCs w:val="24"/>
                <w:vertAlign w:val="superscript"/>
              </w:rPr>
              <w:t xml:space="preserve">o </w:t>
            </w:r>
            <w:r w:rsidRPr="00EC1119">
              <w:rPr>
                <w:sz w:val="24"/>
                <w:szCs w:val="24"/>
              </w:rPr>
              <w:t>01</w:t>
            </w:r>
            <w:r w:rsidRPr="00EC1119">
              <w:rPr>
                <w:sz w:val="24"/>
                <w:szCs w:val="24"/>
                <w:vertAlign w:val="superscript"/>
              </w:rPr>
              <w:t>!</w:t>
            </w:r>
            <w:r w:rsidRPr="00EC1119">
              <w:rPr>
                <w:sz w:val="24"/>
                <w:szCs w:val="24"/>
              </w:rPr>
              <w:t xml:space="preserve"> ¨S¨</w:t>
            </w:r>
          </w:p>
        </w:tc>
        <w:tc>
          <w:tcPr>
            <w:tcW w:w="2207" w:type="dxa"/>
          </w:tcPr>
          <w:p w14:paraId="1383D19C" w14:textId="77777777" w:rsidR="00411A03" w:rsidRPr="00EC1119" w:rsidRDefault="00411A03" w:rsidP="00F53AB3">
            <w:pPr>
              <w:jc w:val="center"/>
              <w:rPr>
                <w:sz w:val="24"/>
                <w:szCs w:val="24"/>
              </w:rPr>
            </w:pPr>
            <w:r w:rsidRPr="00EC1119">
              <w:rPr>
                <w:sz w:val="24"/>
                <w:szCs w:val="24"/>
              </w:rPr>
              <w:t>76</w:t>
            </w:r>
            <w:r w:rsidRPr="00EC1119">
              <w:rPr>
                <w:sz w:val="24"/>
                <w:szCs w:val="24"/>
                <w:vertAlign w:val="superscript"/>
              </w:rPr>
              <w:t xml:space="preserve">o </w:t>
            </w:r>
            <w:r w:rsidRPr="00EC1119">
              <w:rPr>
                <w:sz w:val="24"/>
                <w:szCs w:val="24"/>
              </w:rPr>
              <w:t>56</w:t>
            </w:r>
            <w:r w:rsidRPr="00EC1119">
              <w:rPr>
                <w:sz w:val="24"/>
                <w:szCs w:val="24"/>
                <w:vertAlign w:val="superscript"/>
              </w:rPr>
              <w:t>!</w:t>
            </w:r>
            <w:r w:rsidRPr="00EC1119">
              <w:rPr>
                <w:sz w:val="24"/>
                <w:szCs w:val="24"/>
              </w:rPr>
              <w:t xml:space="preserve"> ¨W¨</w:t>
            </w:r>
          </w:p>
        </w:tc>
      </w:tr>
    </w:tbl>
    <w:p w14:paraId="65A9D833" w14:textId="77777777" w:rsidR="00411A03" w:rsidRPr="00EC1119" w:rsidRDefault="00411A03" w:rsidP="00411A03">
      <w:pPr>
        <w:pStyle w:val="Prrafodelista"/>
        <w:jc w:val="both"/>
        <w:rPr>
          <w:rFonts w:ascii="Times New Roman" w:hAnsi="Times New Roman" w:cs="Times New Roman"/>
          <w:sz w:val="24"/>
          <w:szCs w:val="24"/>
        </w:rPr>
      </w:pPr>
      <w:r w:rsidRPr="00EC1119">
        <w:rPr>
          <w:rFonts w:ascii="Times New Roman" w:hAnsi="Times New Roman" w:cs="Times New Roman"/>
          <w:sz w:val="24"/>
          <w:szCs w:val="24"/>
        </w:rPr>
        <w:t xml:space="preserve">  </w:t>
      </w:r>
    </w:p>
    <w:p w14:paraId="3FD7FAB6" w14:textId="77777777" w:rsidR="00411A03" w:rsidRPr="00EC1119" w:rsidRDefault="00411A03" w:rsidP="00411A03">
      <w:pPr>
        <w:pStyle w:val="Prrafodelista"/>
        <w:jc w:val="both"/>
        <w:rPr>
          <w:rFonts w:ascii="Times New Roman" w:hAnsi="Times New Roman" w:cs="Times New Roman"/>
          <w:sz w:val="24"/>
          <w:szCs w:val="24"/>
          <w:lang w:val="es-CO"/>
        </w:rPr>
      </w:pPr>
      <w:r w:rsidRPr="00EC1119">
        <w:rPr>
          <w:rFonts w:ascii="Times New Roman" w:hAnsi="Times New Roman" w:cs="Times New Roman"/>
          <w:sz w:val="24"/>
          <w:szCs w:val="24"/>
          <w:lang w:val="es-CO"/>
        </w:rPr>
        <w:t xml:space="preserve">    </w:t>
      </w:r>
    </w:p>
    <w:p w14:paraId="5BB9FE51" w14:textId="77777777" w:rsidR="00411A03" w:rsidRPr="00EC1119" w:rsidRDefault="00411A03" w:rsidP="00411A03">
      <w:pPr>
        <w:pStyle w:val="Prrafodelista"/>
        <w:jc w:val="both"/>
        <w:rPr>
          <w:rFonts w:ascii="Times New Roman" w:hAnsi="Times New Roman" w:cs="Times New Roman"/>
          <w:sz w:val="24"/>
          <w:szCs w:val="24"/>
          <w:lang w:val="es-CO"/>
        </w:rPr>
      </w:pPr>
    </w:p>
    <w:p w14:paraId="095E6057" w14:textId="77777777" w:rsidR="00411A03" w:rsidRPr="00EC1119" w:rsidRDefault="00411A03" w:rsidP="00411A03">
      <w:pPr>
        <w:jc w:val="both"/>
        <w:rPr>
          <w:sz w:val="24"/>
          <w:szCs w:val="24"/>
          <w:lang w:val="es-CO"/>
        </w:rPr>
      </w:pPr>
      <w:r w:rsidRPr="00EC1119">
        <w:rPr>
          <w:b/>
          <w:bCs/>
          <w:sz w:val="24"/>
          <w:szCs w:val="24"/>
          <w:lang w:val="es-CO"/>
        </w:rPr>
        <w:t>Figura 1.</w:t>
      </w:r>
      <w:r w:rsidRPr="00EC1119">
        <w:rPr>
          <w:sz w:val="24"/>
          <w:szCs w:val="24"/>
          <w:lang w:val="es-CO"/>
        </w:rPr>
        <w:t xml:space="preserve"> Estaciones de medición del Índice de calidad del aire (ICA) en tiempo real.</w:t>
      </w:r>
    </w:p>
    <w:p w14:paraId="04A2A733" w14:textId="77777777" w:rsidR="00411A03" w:rsidRPr="00EC1119" w:rsidRDefault="00411A03" w:rsidP="00411A03">
      <w:pPr>
        <w:jc w:val="both"/>
        <w:rPr>
          <w:sz w:val="24"/>
          <w:szCs w:val="24"/>
          <w:lang w:val="es-CO"/>
        </w:rPr>
      </w:pPr>
      <w:r w:rsidRPr="00EC1119">
        <w:rPr>
          <w:noProof/>
          <w:lang w:val="es-PE" w:eastAsia="es-PE"/>
        </w:rPr>
        <w:drawing>
          <wp:inline distT="0" distB="0" distL="0" distR="0" wp14:anchorId="4EFA1AEF" wp14:editId="6BE820EF">
            <wp:extent cx="5612130" cy="2789621"/>
            <wp:effectExtent l="0" t="0" r="127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789621"/>
                    </a:xfrm>
                    <a:prstGeom prst="rect">
                      <a:avLst/>
                    </a:prstGeom>
                  </pic:spPr>
                </pic:pic>
              </a:graphicData>
            </a:graphic>
          </wp:inline>
        </w:drawing>
      </w:r>
    </w:p>
    <w:p w14:paraId="6EF50ED7" w14:textId="77777777" w:rsidR="00411A03" w:rsidRPr="00EC1119" w:rsidRDefault="00411A03" w:rsidP="00411A03">
      <w:pPr>
        <w:jc w:val="both"/>
        <w:rPr>
          <w:sz w:val="24"/>
          <w:szCs w:val="24"/>
          <w:lang w:val="es-CO"/>
        </w:rPr>
      </w:pPr>
    </w:p>
    <w:p w14:paraId="4A473A9A" w14:textId="39BD201A" w:rsidR="00411A03" w:rsidRPr="00EC1119" w:rsidRDefault="00411A03" w:rsidP="00411A03">
      <w:pPr>
        <w:pStyle w:val="Prrafodelista"/>
        <w:numPr>
          <w:ilvl w:val="1"/>
          <w:numId w:val="34"/>
        </w:numPr>
        <w:ind w:left="284" w:firstLine="0"/>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 </w:t>
      </w:r>
      <w:r w:rsidRPr="00EC1119">
        <w:rPr>
          <w:rFonts w:ascii="Times New Roman" w:hAnsi="Times New Roman" w:cs="Times New Roman"/>
          <w:b/>
          <w:bCs/>
          <w:sz w:val="24"/>
          <w:szCs w:val="24"/>
          <w:lang w:val="es-ES"/>
        </w:rPr>
        <w:t>Análisis de Datos Funcional (ADF)</w:t>
      </w:r>
    </w:p>
    <w:p w14:paraId="29A00063" w14:textId="77777777" w:rsidR="00411A03" w:rsidRPr="00EC1119" w:rsidRDefault="00411A03" w:rsidP="00411A03">
      <w:pPr>
        <w:jc w:val="both"/>
        <w:rPr>
          <w:sz w:val="24"/>
          <w:szCs w:val="24"/>
          <w:lang w:val="es-ES"/>
        </w:rPr>
      </w:pPr>
      <w:r w:rsidRPr="00EC1119">
        <w:rPr>
          <w:sz w:val="24"/>
          <w:szCs w:val="24"/>
          <w:lang w:val="es-ES"/>
        </w:rPr>
        <w:t xml:space="preserve">A continuación, se presentan los conceptos preliminares del ADF. Ésta es una rama de la estadística, que estudia y analiza la información contenida en curvas, superficies, o cualquier elemento que varía sobre un continuo, generalmente el tiempo (Ramsay &amp; Silverman, 2005). Las particularidades de estos objetos, las funciones, hacen que surja todo un aparato de definiciones, teoremas y herramientas para poder estudiarlas </w:t>
      </w:r>
      <w:r w:rsidRPr="00EC1119">
        <w:rPr>
          <w:sz w:val="24"/>
          <w:szCs w:val="24"/>
          <w:lang w:val="es-ES"/>
        </w:rPr>
        <w:lastRenderedPageBreak/>
        <w:t>correctamente (</w:t>
      </w:r>
      <w:proofErr w:type="spellStart"/>
      <w:r w:rsidRPr="00EC1119">
        <w:rPr>
          <w:sz w:val="24"/>
          <w:szCs w:val="24"/>
          <w:lang w:val="es-ES"/>
        </w:rPr>
        <w:t>Manteiga</w:t>
      </w:r>
      <w:proofErr w:type="spellEnd"/>
      <w:r w:rsidRPr="00EC1119">
        <w:rPr>
          <w:sz w:val="24"/>
          <w:szCs w:val="24"/>
          <w:lang w:val="es-ES"/>
        </w:rPr>
        <w:t xml:space="preserve"> &amp; </w:t>
      </w:r>
      <w:proofErr w:type="spellStart"/>
      <w:r w:rsidRPr="00EC1119">
        <w:rPr>
          <w:sz w:val="24"/>
          <w:szCs w:val="24"/>
          <w:lang w:val="es-ES"/>
        </w:rPr>
        <w:t>Vieu</w:t>
      </w:r>
      <w:proofErr w:type="spellEnd"/>
      <w:r w:rsidRPr="00EC1119">
        <w:rPr>
          <w:sz w:val="24"/>
          <w:szCs w:val="24"/>
          <w:lang w:val="es-ES"/>
        </w:rPr>
        <w:t>, 2007). Por ello, el primer paso será definir y comentar los conceptos básicos, las características y peculiaridades de este tipo de datos.</w:t>
      </w:r>
    </w:p>
    <w:p w14:paraId="7A3B92A7" w14:textId="77777777" w:rsidR="00411A03" w:rsidRPr="00EC1119" w:rsidRDefault="00411A03" w:rsidP="00411A03">
      <w:pPr>
        <w:jc w:val="both"/>
        <w:rPr>
          <w:sz w:val="24"/>
          <w:szCs w:val="24"/>
          <w:lang w:val="es-ES"/>
        </w:rPr>
      </w:pPr>
      <w:r w:rsidRPr="00EC1119">
        <w:rPr>
          <w:sz w:val="24"/>
          <w:szCs w:val="24"/>
          <w:lang w:val="es-ES"/>
        </w:rPr>
        <w:t>La explosión tecnológica ha hecho del ADF una disciplina emergente dentro de la estadística con multitud de publicaciones y estudios. Prueba de este interés es la creciente presencia en revistas especializadas y la creación de un grupo de trabajo específico dentro del ERCIM (</w:t>
      </w:r>
      <w:proofErr w:type="spellStart"/>
      <w:r w:rsidRPr="00EC1119">
        <w:rPr>
          <w:sz w:val="24"/>
          <w:szCs w:val="24"/>
          <w:lang w:val="es-ES"/>
        </w:rPr>
        <w:t>European</w:t>
      </w:r>
      <w:proofErr w:type="spellEnd"/>
      <w:r w:rsidRPr="00EC1119">
        <w:rPr>
          <w:sz w:val="24"/>
          <w:szCs w:val="24"/>
          <w:lang w:val="es-ES"/>
        </w:rPr>
        <w:t xml:space="preserve"> </w:t>
      </w:r>
      <w:proofErr w:type="spellStart"/>
      <w:r w:rsidRPr="00EC1119">
        <w:rPr>
          <w:sz w:val="24"/>
          <w:szCs w:val="24"/>
          <w:lang w:val="es-ES"/>
        </w:rPr>
        <w:t>Research</w:t>
      </w:r>
      <w:proofErr w:type="spellEnd"/>
      <w:r w:rsidRPr="00EC1119">
        <w:rPr>
          <w:sz w:val="24"/>
          <w:szCs w:val="24"/>
          <w:lang w:val="es-ES"/>
        </w:rPr>
        <w:t xml:space="preserve"> </w:t>
      </w:r>
      <w:proofErr w:type="spellStart"/>
      <w:r w:rsidRPr="00EC1119">
        <w:rPr>
          <w:sz w:val="24"/>
          <w:szCs w:val="24"/>
          <w:lang w:val="es-ES"/>
        </w:rPr>
        <w:t>Consortium</w:t>
      </w:r>
      <w:proofErr w:type="spellEnd"/>
      <w:r w:rsidRPr="00EC1119">
        <w:rPr>
          <w:sz w:val="24"/>
          <w:szCs w:val="24"/>
          <w:lang w:val="es-ES"/>
        </w:rPr>
        <w:t xml:space="preserve"> </w:t>
      </w:r>
      <w:proofErr w:type="spellStart"/>
      <w:r w:rsidRPr="00EC1119">
        <w:rPr>
          <w:sz w:val="24"/>
          <w:szCs w:val="24"/>
          <w:lang w:val="es-ES"/>
        </w:rPr>
        <w:t>for</w:t>
      </w:r>
      <w:proofErr w:type="spellEnd"/>
      <w:r w:rsidRPr="00EC1119">
        <w:rPr>
          <w:sz w:val="24"/>
          <w:szCs w:val="24"/>
          <w:lang w:val="es-ES"/>
        </w:rPr>
        <w:t xml:space="preserve"> </w:t>
      </w:r>
      <w:proofErr w:type="spellStart"/>
      <w:r w:rsidRPr="00EC1119">
        <w:rPr>
          <w:sz w:val="24"/>
          <w:szCs w:val="24"/>
          <w:lang w:val="es-ES"/>
        </w:rPr>
        <w:t>Informatics</w:t>
      </w:r>
      <w:proofErr w:type="spellEnd"/>
      <w:r w:rsidRPr="00EC1119">
        <w:rPr>
          <w:sz w:val="24"/>
          <w:szCs w:val="24"/>
          <w:lang w:val="es-ES"/>
        </w:rPr>
        <w:t xml:space="preserve"> and </w:t>
      </w:r>
      <w:proofErr w:type="spellStart"/>
      <w:r w:rsidRPr="00EC1119">
        <w:rPr>
          <w:sz w:val="24"/>
          <w:szCs w:val="24"/>
          <w:lang w:val="es-ES"/>
        </w:rPr>
        <w:t>Mathematics</w:t>
      </w:r>
      <w:proofErr w:type="spellEnd"/>
      <w:r w:rsidRPr="00EC1119">
        <w:rPr>
          <w:sz w:val="24"/>
          <w:szCs w:val="24"/>
          <w:lang w:val="es-ES"/>
        </w:rPr>
        <w:t>).  Entre la literatura disponible sobresalen como referencias básicas los libros de (Ramsay &amp; Silverman, 2005) y (</w:t>
      </w:r>
      <w:proofErr w:type="spellStart"/>
      <w:r w:rsidRPr="00EC1119">
        <w:rPr>
          <w:sz w:val="24"/>
          <w:szCs w:val="24"/>
          <w:lang w:val="es-ES"/>
        </w:rPr>
        <w:t>Ferraty</w:t>
      </w:r>
      <w:proofErr w:type="spellEnd"/>
      <w:r w:rsidRPr="00EC1119">
        <w:rPr>
          <w:sz w:val="24"/>
          <w:szCs w:val="24"/>
          <w:lang w:val="es-ES"/>
        </w:rPr>
        <w:t xml:space="preserve"> &amp; </w:t>
      </w:r>
      <w:proofErr w:type="spellStart"/>
      <w:r w:rsidRPr="00EC1119">
        <w:rPr>
          <w:sz w:val="24"/>
          <w:szCs w:val="24"/>
          <w:lang w:val="es-ES"/>
        </w:rPr>
        <w:t>Vieu</w:t>
      </w:r>
      <w:proofErr w:type="spellEnd"/>
      <w:r w:rsidRPr="00EC1119">
        <w:rPr>
          <w:sz w:val="24"/>
          <w:szCs w:val="24"/>
          <w:lang w:val="es-ES"/>
        </w:rPr>
        <w:t>, 2006). En el primer caso, tratan muchos de los problemas básicos de la estadística funcional, en el segundo caso abordan la metodología desde el punto de vista no paramétrico. Ramsay y Silverman también tienen un segundo libro de carácter más aplicado en el que se estudian soluciones a problemas sobre conjuntos de datos concretos (Ramsay &amp; Silverman, 2002).</w:t>
      </w:r>
    </w:p>
    <w:p w14:paraId="5A7615D0" w14:textId="049BD272" w:rsidR="00411A03" w:rsidRDefault="00411A03" w:rsidP="00411A03">
      <w:pPr>
        <w:jc w:val="both"/>
        <w:rPr>
          <w:sz w:val="24"/>
          <w:szCs w:val="24"/>
          <w:lang w:val="es-ES"/>
        </w:rPr>
      </w:pPr>
      <w:r w:rsidRPr="00EC1119">
        <w:rPr>
          <w:sz w:val="24"/>
          <w:szCs w:val="24"/>
          <w:lang w:val="es-ES"/>
        </w:rPr>
        <w:t>En la práctica, los datos funcionales son obtenidos de forma discreta, siendo necesario convertirlos a funciones sobre las cuales se pueda trabajar, para esto pueden emplearse diferentes tipos de ajustes. Teniendo en cuenta lo anterior, la representación de estos datos como datos funcionales a partir de una base ortonormal brinda una ventaja tanto teórica como práctica, esta base se utiliza para transformar datos discretos en datos funcionales.</w:t>
      </w:r>
    </w:p>
    <w:p w14:paraId="68E51609" w14:textId="77777777" w:rsidR="00411A03" w:rsidRPr="00EC1119" w:rsidRDefault="00411A03" w:rsidP="00411A03">
      <w:pPr>
        <w:jc w:val="both"/>
        <w:rPr>
          <w:sz w:val="24"/>
          <w:szCs w:val="24"/>
          <w:lang w:val="es-ES"/>
        </w:rPr>
      </w:pPr>
    </w:p>
    <w:p w14:paraId="7F2FC438" w14:textId="77777777" w:rsidR="00411A03" w:rsidRPr="00411A03" w:rsidRDefault="00411A03" w:rsidP="00411A03">
      <w:pPr>
        <w:pStyle w:val="Prrafodelista"/>
        <w:numPr>
          <w:ilvl w:val="1"/>
          <w:numId w:val="34"/>
        </w:numPr>
        <w:ind w:left="284" w:firstLine="0"/>
        <w:jc w:val="both"/>
        <w:rPr>
          <w:rFonts w:ascii="Times New Roman" w:hAnsi="Times New Roman" w:cs="Times New Roman"/>
          <w:b/>
          <w:bCs/>
          <w:sz w:val="24"/>
          <w:szCs w:val="24"/>
          <w:lang w:val="es-ES"/>
        </w:rPr>
      </w:pPr>
      <w:r w:rsidRPr="00411A03">
        <w:rPr>
          <w:rFonts w:ascii="Times New Roman" w:hAnsi="Times New Roman" w:cs="Times New Roman"/>
          <w:b/>
          <w:bCs/>
          <w:sz w:val="24"/>
          <w:szCs w:val="24"/>
          <w:lang w:val="es-ES"/>
        </w:rPr>
        <w:t>Construcción de datos funcionales</w:t>
      </w:r>
    </w:p>
    <w:p w14:paraId="66879B9E" w14:textId="77777777" w:rsidR="00411A03" w:rsidRPr="00EC1119" w:rsidRDefault="00411A03" w:rsidP="00411A03">
      <w:pPr>
        <w:jc w:val="both"/>
        <w:rPr>
          <w:sz w:val="24"/>
          <w:szCs w:val="24"/>
          <w:lang w:val="es-ES"/>
        </w:rPr>
      </w:pPr>
      <w:r w:rsidRPr="00EC1119">
        <w:rPr>
          <w:sz w:val="24"/>
          <w:szCs w:val="24"/>
          <w:lang w:val="es-ES"/>
        </w:rPr>
        <w:t>En Análisis de Datos Funcionales (ADF) los datos en lugar de ser un conjunto de vectores, como en análisis multivariado clásico, son un conjunto de curvas.  En la mayoría de las aplicaciones, las curvas observadas proceden de la observación de un proceso estocástico en tiempo continuo (Aguilera, 2009).</w:t>
      </w:r>
    </w:p>
    <w:p w14:paraId="7B69DF3A" w14:textId="77777777" w:rsidR="00411A03" w:rsidRPr="00EC1119" w:rsidRDefault="00411A03" w:rsidP="00411A03">
      <w:pPr>
        <w:jc w:val="both"/>
        <w:rPr>
          <w:rFonts w:eastAsiaTheme="minorEastAsia"/>
          <w:sz w:val="24"/>
          <w:szCs w:val="24"/>
          <w:lang w:val="es-ES"/>
        </w:rPr>
      </w:pPr>
      <w:r w:rsidRPr="00EC1119">
        <w:rPr>
          <w:sz w:val="24"/>
          <w:szCs w:val="24"/>
          <w:lang w:val="es-ES"/>
        </w:rPr>
        <w:t xml:space="preserve">El dato funcional se define a partir de una base de funciones </w:t>
      </w:r>
      <m:oMath>
        <m:sSub>
          <m:sSubPr>
            <m:ctrlPr>
              <w:rPr>
                <w:rFonts w:ascii="Cambria Math" w:hAnsi="Cambria Math"/>
                <w:i/>
                <w:sz w:val="24"/>
                <w:szCs w:val="24"/>
                <w:lang w:val="es-ES"/>
              </w:rPr>
            </m:ctrlPr>
          </m:sSubPr>
          <m:e>
            <m:d>
              <m:dPr>
                <m:begChr m:val="{"/>
                <m:endChr m:val="}"/>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m:t>
                    </m:r>
                  </m:e>
                  <m:sub>
                    <m:r>
                      <w:rPr>
                        <w:rFonts w:ascii="Cambria Math" w:hAnsi="Cambria Math"/>
                        <w:sz w:val="24"/>
                        <w:szCs w:val="24"/>
                        <w:lang w:val="es-ES"/>
                      </w:rPr>
                      <m:t>k</m:t>
                    </m:r>
                  </m:sub>
                </m:sSub>
              </m:e>
            </m:d>
          </m:e>
          <m:sub>
            <m:r>
              <w:rPr>
                <w:rFonts w:ascii="Cambria Math" w:hAnsi="Cambria Math"/>
                <w:sz w:val="24"/>
                <w:szCs w:val="24"/>
                <w:lang w:val="es-ES"/>
              </w:rPr>
              <m:t xml:space="preserve">k∈N, </m:t>
            </m:r>
          </m:sub>
        </m:sSub>
      </m:oMath>
      <w:r w:rsidRPr="00EC1119">
        <w:rPr>
          <w:rFonts w:eastAsiaTheme="minorEastAsia"/>
          <w:sz w:val="24"/>
          <w:szCs w:val="24"/>
          <w:lang w:val="es-ES"/>
        </w:rPr>
        <w:t xml:space="preserve"> tal que cualquier función puede representarse mediante una combinación lineal de ella, es decir </w:t>
      </w:r>
      <m:oMath>
        <m:r>
          <w:rPr>
            <w:rFonts w:ascii="Cambria Math" w:eastAsiaTheme="minorEastAsia" w:hAnsi="Cambria Math"/>
            <w:sz w:val="24"/>
            <w:szCs w:val="24"/>
            <w:lang w:val="es-ES"/>
          </w:rPr>
          <m:t>x</m:t>
        </m:r>
        <m:d>
          <m:dPr>
            <m:ctrlPr>
              <w:rPr>
                <w:rFonts w:ascii="Cambria Math" w:eastAsiaTheme="minorEastAsia" w:hAnsi="Cambria Math"/>
                <w:i/>
                <w:sz w:val="24"/>
                <w:szCs w:val="24"/>
                <w:lang w:val="es-ES"/>
              </w:rPr>
            </m:ctrlPr>
          </m:dPr>
          <m:e>
            <m:r>
              <w:rPr>
                <w:rFonts w:ascii="Cambria Math" w:eastAsiaTheme="minorEastAsia" w:hAnsi="Cambria Math"/>
                <w:sz w:val="24"/>
                <w:szCs w:val="24"/>
                <w:lang w:val="es-ES"/>
              </w:rPr>
              <m:t>t</m:t>
            </m:r>
          </m:e>
        </m:d>
        <m:r>
          <w:rPr>
            <w:rFonts w:ascii="Cambria Math" w:eastAsiaTheme="minorEastAsia" w:hAnsi="Cambria Math"/>
            <w:sz w:val="24"/>
            <w:szCs w:val="24"/>
            <w:lang w:val="es-ES"/>
          </w:rPr>
          <m:t>=</m:t>
        </m:r>
        <m:nary>
          <m:naryPr>
            <m:chr m:val="∑"/>
            <m:limLoc m:val="undOvr"/>
            <m:ctrlPr>
              <w:rPr>
                <w:rFonts w:ascii="Cambria Math" w:eastAsiaTheme="minorEastAsia" w:hAnsi="Cambria Math"/>
                <w:i/>
                <w:sz w:val="24"/>
                <w:szCs w:val="24"/>
                <w:lang w:val="es-ES"/>
              </w:rPr>
            </m:ctrlPr>
          </m:naryPr>
          <m:sub>
            <m:r>
              <w:rPr>
                <w:rFonts w:ascii="Cambria Math" w:eastAsiaTheme="minorEastAsia" w:hAnsi="Cambria Math"/>
                <w:sz w:val="24"/>
                <w:szCs w:val="24"/>
                <w:lang w:val="es-ES"/>
              </w:rPr>
              <m:t>k-1</m:t>
            </m:r>
          </m:sub>
          <m:sup>
            <m:r>
              <w:rPr>
                <w:rFonts w:ascii="Cambria Math" w:eastAsiaTheme="minorEastAsia" w:hAnsi="Cambria Math"/>
                <w:sz w:val="24"/>
                <w:szCs w:val="24"/>
                <w:lang w:val="es-ES"/>
              </w:rPr>
              <m:t>k</m:t>
            </m:r>
          </m:sup>
          <m:e>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C</m:t>
                </m:r>
              </m:e>
              <m:sub>
                <m:r>
                  <w:rPr>
                    <w:rFonts w:ascii="Cambria Math" w:eastAsiaTheme="minorEastAsia" w:hAnsi="Cambria Math"/>
                    <w:sz w:val="24"/>
                    <w:szCs w:val="24"/>
                    <w:lang w:val="es-ES"/>
                  </w:rPr>
                  <m:t>k</m:t>
                </m:r>
              </m:sub>
            </m:sSub>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m:t>
                </m:r>
              </m:e>
              <m:sub>
                <m:r>
                  <w:rPr>
                    <w:rFonts w:ascii="Cambria Math" w:eastAsiaTheme="minorEastAsia" w:hAnsi="Cambria Math"/>
                    <w:sz w:val="24"/>
                    <w:szCs w:val="24"/>
                    <w:lang w:val="es-ES"/>
                  </w:rPr>
                  <m:t>k</m:t>
                </m:r>
              </m:sub>
            </m:sSub>
            <m:d>
              <m:dPr>
                <m:ctrlPr>
                  <w:rPr>
                    <w:rFonts w:ascii="Cambria Math" w:eastAsiaTheme="minorEastAsia" w:hAnsi="Cambria Math"/>
                    <w:i/>
                    <w:sz w:val="24"/>
                    <w:szCs w:val="24"/>
                    <w:lang w:val="es-ES"/>
                  </w:rPr>
                </m:ctrlPr>
              </m:dPr>
              <m:e>
                <m:r>
                  <w:rPr>
                    <w:rFonts w:ascii="Cambria Math" w:eastAsiaTheme="minorEastAsia" w:hAnsi="Cambria Math"/>
                    <w:sz w:val="24"/>
                    <w:szCs w:val="24"/>
                    <w:lang w:val="es-ES"/>
                  </w:rPr>
                  <m:t>t</m:t>
                </m:r>
              </m:e>
            </m:d>
          </m:e>
        </m:nary>
      </m:oMath>
      <w:r w:rsidRPr="00EC1119">
        <w:rPr>
          <w:rFonts w:eastAsiaTheme="minorEastAsia"/>
          <w:sz w:val="24"/>
          <w:szCs w:val="24"/>
          <w:lang w:val="es-ES"/>
        </w:rPr>
        <w:t>. La expresión de forma matricial queda expresada como,</w:t>
      </w:r>
    </w:p>
    <w:p w14:paraId="27A5A451" w14:textId="77777777" w:rsidR="00411A03" w:rsidRPr="00EC1119" w:rsidRDefault="00411A03" w:rsidP="00411A03">
      <w:pPr>
        <w:jc w:val="center"/>
        <w:rPr>
          <w:rFonts w:eastAsiaTheme="minorEastAsia"/>
          <w:sz w:val="24"/>
          <w:szCs w:val="24"/>
          <w:lang w:val="es-ES"/>
        </w:rPr>
      </w:pPr>
      <w:r w:rsidRPr="00EC1119">
        <w:rPr>
          <w:rFonts w:eastAsiaTheme="minorEastAsia"/>
          <w:sz w:val="24"/>
          <w:szCs w:val="24"/>
          <w:lang w:val="es-ES"/>
        </w:rPr>
        <w:t xml:space="preserve">          </w:t>
      </w:r>
      <m:oMath>
        <m:r>
          <w:rPr>
            <w:rFonts w:ascii="Cambria Math" w:hAnsi="Cambria Math"/>
            <w:sz w:val="24"/>
            <w:szCs w:val="24"/>
            <w:lang w:val="es-ES"/>
          </w:rPr>
          <m:t>X</m:t>
        </m:r>
        <m:d>
          <m:dPr>
            <m:ctrlPr>
              <w:rPr>
                <w:rFonts w:ascii="Cambria Math" w:hAnsi="Cambria Math"/>
                <w:i/>
                <w:sz w:val="24"/>
                <w:szCs w:val="24"/>
                <w:lang w:val="es-ES"/>
              </w:rPr>
            </m:ctrlPr>
          </m:dPr>
          <m:e>
            <m:r>
              <w:rPr>
                <w:rFonts w:ascii="Cambria Math" w:hAnsi="Cambria Math"/>
                <w:sz w:val="24"/>
                <w:szCs w:val="24"/>
                <w:lang w:val="es-ES"/>
              </w:rPr>
              <m:t>t</m:t>
            </m:r>
          </m:e>
        </m:d>
        <m:r>
          <w:rPr>
            <w:rFonts w:ascii="Cambria Math" w:hAnsi="Cambria Math"/>
            <w:sz w:val="24"/>
            <w:szCs w:val="24"/>
            <w:lang w:val="es-ES"/>
          </w:rPr>
          <m:t>=</m:t>
        </m:r>
        <m:sSup>
          <m:sSupPr>
            <m:ctrlPr>
              <w:rPr>
                <w:rFonts w:ascii="Cambria Math" w:hAnsi="Cambria Math"/>
                <w:i/>
                <w:sz w:val="24"/>
                <w:szCs w:val="24"/>
                <w:lang w:val="es-ES"/>
              </w:rPr>
            </m:ctrlPr>
          </m:sSupPr>
          <m:e>
            <m:r>
              <w:rPr>
                <w:rFonts w:ascii="Cambria Math" w:hAnsi="Cambria Math"/>
                <w:sz w:val="24"/>
                <w:szCs w:val="24"/>
                <w:lang w:val="es-ES"/>
              </w:rPr>
              <m:t>C</m:t>
            </m:r>
          </m:e>
          <m:sup>
            <m:r>
              <w:rPr>
                <w:rFonts w:ascii="Cambria Math" w:hAnsi="Cambria Math"/>
                <w:sz w:val="24"/>
                <w:szCs w:val="24"/>
                <w:lang w:val="es-ES"/>
              </w:rPr>
              <m:t>T</m:t>
            </m:r>
          </m:sup>
        </m:sSup>
        <m:r>
          <w:rPr>
            <w:rFonts w:ascii="Cambria Math" w:hAnsi="Cambria Math"/>
            <w:sz w:val="24"/>
            <w:szCs w:val="24"/>
            <w:lang w:val="es-ES"/>
          </w:rPr>
          <m:t>Φ=</m:t>
        </m:r>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oMath>
      <w:r w:rsidRPr="00EC1119">
        <w:rPr>
          <w:rFonts w:eastAsiaTheme="minorEastAsia"/>
          <w:sz w:val="24"/>
          <w:szCs w:val="24"/>
          <w:lang w:val="es-ES"/>
        </w:rPr>
        <w:t xml:space="preserve">C                                                                           </w:t>
      </w:r>
      <w:proofErr w:type="gramStart"/>
      <w:r w:rsidRPr="00EC1119">
        <w:rPr>
          <w:rFonts w:eastAsiaTheme="minorEastAsia"/>
          <w:sz w:val="24"/>
          <w:szCs w:val="24"/>
          <w:lang w:val="es-ES"/>
        </w:rPr>
        <w:t xml:space="preserve">   (</w:t>
      </w:r>
      <w:proofErr w:type="gramEnd"/>
      <w:r w:rsidRPr="00EC1119">
        <w:rPr>
          <w:rFonts w:eastAsiaTheme="minorEastAsia"/>
          <w:sz w:val="24"/>
          <w:szCs w:val="24"/>
          <w:lang w:val="es-ES"/>
        </w:rPr>
        <w:t>2.1)</w:t>
      </w:r>
    </w:p>
    <w:p w14:paraId="189D6ECD" w14:textId="77777777" w:rsidR="00411A03" w:rsidRPr="00EC1119" w:rsidRDefault="00411A03" w:rsidP="00411A03">
      <w:pPr>
        <w:jc w:val="both"/>
        <w:rPr>
          <w:sz w:val="24"/>
          <w:szCs w:val="24"/>
          <w:lang w:val="es-ES"/>
        </w:rPr>
      </w:pPr>
      <w:r w:rsidRPr="00EC1119">
        <w:rPr>
          <w:sz w:val="24"/>
          <w:szCs w:val="24"/>
          <w:lang w:val="es-ES"/>
        </w:rPr>
        <w:t xml:space="preserve">donde los </w:t>
      </w:r>
      <m:oMath>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K</m:t>
            </m:r>
          </m:sub>
        </m:sSub>
      </m:oMath>
      <w:r w:rsidRPr="00EC1119">
        <w:rPr>
          <w:sz w:val="24"/>
          <w:szCs w:val="24"/>
          <w:lang w:val="es-ES"/>
        </w:rPr>
        <w:t xml:space="preserve"> son los coeficientes en la nueva base, </w:t>
      </w:r>
      <m:oMath>
        <m:r>
          <m:rPr>
            <m:sty m:val="p"/>
          </m:rPr>
          <w:rPr>
            <w:rFonts w:ascii="Cambria Math" w:hAnsi="Cambria Math"/>
            <w:sz w:val="24"/>
            <w:szCs w:val="24"/>
          </w:rPr>
          <m:t>Φ</m:t>
        </m:r>
      </m:oMath>
      <w:r w:rsidRPr="00EC1119">
        <w:rPr>
          <w:sz w:val="24"/>
          <w:szCs w:val="24"/>
          <w:lang w:val="es-ES"/>
        </w:rPr>
        <w:t xml:space="preserve"> es una matriz que contiene los valores de </w:t>
      </w:r>
      <m:oMath>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m:t>
            </m:r>
          </m:e>
          <m:sub>
            <m:r>
              <w:rPr>
                <w:rFonts w:ascii="Cambria Math" w:eastAsiaTheme="minorEastAsia" w:hAnsi="Cambria Math"/>
                <w:sz w:val="24"/>
                <w:szCs w:val="24"/>
                <w:lang w:val="es-ES"/>
              </w:rPr>
              <m:t>k</m:t>
            </m:r>
          </m:sub>
        </m:sSub>
      </m:oMath>
      <w:r w:rsidRPr="00EC1119">
        <w:rPr>
          <w:sz w:val="24"/>
          <w:szCs w:val="24"/>
          <w:lang w:val="es-ES"/>
        </w:rPr>
        <w:t xml:space="preserve"> (t) y K será el número </w:t>
      </w:r>
      <w:proofErr w:type="gramStart"/>
      <w:r w:rsidRPr="00EC1119">
        <w:rPr>
          <w:sz w:val="24"/>
          <w:szCs w:val="24"/>
          <w:lang w:val="es-ES"/>
        </w:rPr>
        <w:t>de  bases</w:t>
      </w:r>
      <w:proofErr w:type="gramEnd"/>
      <w:r w:rsidRPr="00EC1119">
        <w:rPr>
          <w:sz w:val="24"/>
          <w:szCs w:val="24"/>
          <w:lang w:val="es-ES"/>
        </w:rPr>
        <w:t>.  En este contexto es importante en la selección del valor de K, dado que la expresión de la función seguirá siendo infinita o demasiado grande, por lo que habrá que delimitar la serie de datos.  De aquí la importancia de la elección del número de bases K, este se comporta como otro parámetro del modelo midiendo el grado de suavización de la función (Ramsay &amp; Silverman, 2005).</w:t>
      </w:r>
    </w:p>
    <w:p w14:paraId="6AB06ADD" w14:textId="77777777" w:rsidR="00411A03" w:rsidRPr="00EC1119" w:rsidRDefault="00411A03" w:rsidP="00411A03">
      <w:pPr>
        <w:jc w:val="both"/>
        <w:rPr>
          <w:sz w:val="24"/>
          <w:szCs w:val="24"/>
          <w:lang w:val="es-ES"/>
        </w:rPr>
      </w:pPr>
      <w:r w:rsidRPr="00EC1119">
        <w:rPr>
          <w:sz w:val="24"/>
          <w:szCs w:val="24"/>
          <w:lang w:val="es-ES"/>
        </w:rPr>
        <w:t xml:space="preserve">De la expresión 2.1 se denota que el problema consiste en estimar el vector de coeficientes </w:t>
      </w:r>
      <w:r w:rsidRPr="00EC1119">
        <w:rPr>
          <w:b/>
          <w:sz w:val="24"/>
          <w:szCs w:val="24"/>
          <w:lang w:val="es-ES"/>
        </w:rPr>
        <w:t>C</w:t>
      </w:r>
      <w:r w:rsidRPr="00EC1119">
        <w:rPr>
          <w:sz w:val="24"/>
          <w:szCs w:val="24"/>
          <w:lang w:val="es-ES"/>
        </w:rPr>
        <w:t xml:space="preserve">, este vector pondera cada función de la base sobre la función de interés x(t), (Ramsay &amp; Silverman, 2005) estimaron el vector </w:t>
      </w:r>
      <w:r w:rsidRPr="00EC1119">
        <w:rPr>
          <w:b/>
          <w:sz w:val="24"/>
          <w:szCs w:val="24"/>
          <w:lang w:val="es-ES"/>
        </w:rPr>
        <w:t>C</w:t>
      </w:r>
      <w:r w:rsidRPr="00EC1119">
        <w:rPr>
          <w:sz w:val="24"/>
          <w:szCs w:val="24"/>
          <w:lang w:val="es-ES"/>
        </w:rPr>
        <w:t xml:space="preserve"> a partir de mínimos cuadrados ordinarios. A continuación, se presenta el proceso de estimación propuesto:</w:t>
      </w:r>
    </w:p>
    <w:p w14:paraId="0D008990" w14:textId="77777777" w:rsidR="00411A03" w:rsidRPr="00EC1119" w:rsidRDefault="00411A03" w:rsidP="00411A03">
      <w:pPr>
        <w:jc w:val="both"/>
        <w:rPr>
          <w:sz w:val="24"/>
          <w:szCs w:val="24"/>
          <w:lang w:val="es-ES"/>
        </w:rPr>
      </w:pPr>
      <w:r w:rsidRPr="00EC1119">
        <w:rPr>
          <w:sz w:val="24"/>
          <w:szCs w:val="24"/>
          <w:lang w:val="es-ES"/>
        </w:rPr>
        <w:t xml:space="preserve">Sea </w:t>
      </w:r>
      <m:oMath>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i</m:t>
            </m:r>
          </m:sub>
        </m:sSub>
      </m:oMath>
      <w:r w:rsidRPr="00EC1119">
        <w:rPr>
          <w:sz w:val="24"/>
          <w:szCs w:val="24"/>
          <w:lang w:val="es-ES"/>
        </w:rPr>
        <w:t xml:space="preserve"> el valor obs</w:t>
      </w:r>
      <w:proofErr w:type="spellStart"/>
      <w:r w:rsidRPr="00EC1119">
        <w:rPr>
          <w:sz w:val="24"/>
          <w:szCs w:val="24"/>
          <w:lang w:val="es-ES"/>
        </w:rPr>
        <w:t>ervado</w:t>
      </w:r>
      <w:proofErr w:type="spellEnd"/>
      <w:r w:rsidRPr="00EC1119">
        <w:rPr>
          <w:sz w:val="24"/>
          <w:szCs w:val="24"/>
          <w:lang w:val="es-ES"/>
        </w:rPr>
        <w:t xml:space="preserve"> de la variable </w:t>
      </w:r>
      <w:r w:rsidRPr="00EC1119">
        <w:rPr>
          <w:b/>
          <w:sz w:val="24"/>
          <w:szCs w:val="24"/>
          <w:lang w:val="es-ES"/>
        </w:rPr>
        <w:t>Y</w:t>
      </w:r>
      <w:r w:rsidRPr="00EC1119">
        <w:rPr>
          <w:sz w:val="24"/>
          <w:szCs w:val="24"/>
          <w:lang w:val="es-ES"/>
        </w:rPr>
        <w:t xml:space="preserve"> en el tiempo </w:t>
      </w:r>
      <m:oMath>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 xml:space="preserve">j </m:t>
            </m:r>
          </m:sub>
        </m:sSub>
        <m:r>
          <w:rPr>
            <w:rFonts w:ascii="Cambria Math" w:hAnsi="Cambria Math"/>
            <w:sz w:val="24"/>
            <w:szCs w:val="24"/>
            <w:lang w:val="es-ES"/>
          </w:rPr>
          <m:t>∀  j=1,…….,n,</m:t>
        </m:r>
      </m:oMath>
      <w:r w:rsidRPr="00EC1119">
        <w:rPr>
          <w:sz w:val="24"/>
          <w:szCs w:val="24"/>
          <w:lang w:val="es-ES"/>
        </w:rPr>
        <w:t xml:space="preserve"> tal que puede ser expresados como:</w:t>
      </w:r>
    </w:p>
    <w:p w14:paraId="68AA14A7" w14:textId="77777777" w:rsidR="00411A03" w:rsidRPr="00EC1119" w:rsidRDefault="00411A03" w:rsidP="00411A03">
      <w:pPr>
        <w:jc w:val="center"/>
        <w:rPr>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i</m:t>
            </m:r>
          </m:sub>
        </m:sSub>
        <m:r>
          <w:rPr>
            <w:rFonts w:ascii="Cambria Math" w:hAnsi="Cambria Math"/>
            <w:sz w:val="24"/>
            <w:szCs w:val="24"/>
            <w:lang w:val="es-ES"/>
          </w:rPr>
          <m:t>=x</m:t>
        </m:r>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j</m:t>
                </m:r>
              </m:sub>
            </m:sSub>
          </m:e>
        </m:d>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 xml:space="preserve"> ∈</m:t>
            </m:r>
          </m:e>
          <m:sub>
            <m:r>
              <w:rPr>
                <w:rFonts w:ascii="Cambria Math" w:hAnsi="Cambria Math"/>
                <w:sz w:val="24"/>
                <w:szCs w:val="24"/>
                <w:lang w:val="es-ES"/>
              </w:rPr>
              <m:t>j</m:t>
            </m:r>
          </m:sub>
        </m:sSub>
        <m:r>
          <w:rPr>
            <w:rFonts w:ascii="Cambria Math" w:hAnsi="Cambria Math"/>
            <w:sz w:val="24"/>
            <w:szCs w:val="24"/>
            <w:lang w:val="es-ES"/>
          </w:rPr>
          <m:t xml:space="preserve"> =</m:t>
        </m:r>
        <m:sSup>
          <m:sSupPr>
            <m:ctrlPr>
              <w:rPr>
                <w:rFonts w:ascii="Cambria Math" w:eastAsiaTheme="minorEastAsia" w:hAnsi="Cambria Math"/>
                <w:i/>
                <w:sz w:val="24"/>
                <w:szCs w:val="24"/>
                <w:lang w:val="es-ES"/>
              </w:rPr>
            </m:ctrlPr>
          </m:sSupPr>
          <m:e>
            <m:r>
              <w:rPr>
                <w:rFonts w:ascii="Cambria Math" w:eastAsiaTheme="minorEastAsia" w:hAnsi="Cambria Math"/>
                <w:sz w:val="24"/>
                <w:szCs w:val="24"/>
                <w:lang w:val="es-ES"/>
              </w:rPr>
              <m:t>∅</m:t>
            </m:r>
          </m:e>
          <m:sup>
            <m:r>
              <w:rPr>
                <w:rFonts w:ascii="Cambria Math" w:eastAsiaTheme="minorEastAsia" w:hAnsi="Cambria Math"/>
                <w:sz w:val="24"/>
                <w:szCs w:val="24"/>
                <w:lang w:val="es-ES"/>
              </w:rPr>
              <m:t>T</m:t>
            </m:r>
          </m:sup>
        </m:sSup>
        <m:d>
          <m:dPr>
            <m:ctrlPr>
              <w:rPr>
                <w:rFonts w:ascii="Cambria Math" w:eastAsiaTheme="minorEastAsia" w:hAnsi="Cambria Math"/>
                <w:i/>
                <w:sz w:val="24"/>
                <w:szCs w:val="24"/>
                <w:lang w:val="es-ES"/>
              </w:rPr>
            </m:ctrlPr>
          </m:dPr>
          <m:e>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t</m:t>
                </m:r>
              </m:e>
              <m:sub>
                <m:r>
                  <w:rPr>
                    <w:rFonts w:ascii="Cambria Math" w:eastAsiaTheme="minorEastAsia" w:hAnsi="Cambria Math"/>
                    <w:sz w:val="24"/>
                    <w:szCs w:val="24"/>
                    <w:lang w:val="es-ES"/>
                  </w:rPr>
                  <m:t>j</m:t>
                </m:r>
              </m:sub>
            </m:sSub>
          </m:e>
        </m:d>
        <m:r>
          <w:rPr>
            <w:rFonts w:ascii="Cambria Math" w:eastAsiaTheme="minorEastAsia" w:hAnsi="Cambria Math"/>
            <w:sz w:val="24"/>
            <w:szCs w:val="24"/>
            <w:lang w:val="es-ES"/>
          </w:rPr>
          <m:t>C+</m:t>
        </m:r>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m:t>
            </m:r>
          </m:e>
          <m:sub>
            <m:r>
              <w:rPr>
                <w:rFonts w:ascii="Cambria Math" w:eastAsiaTheme="minorEastAsia" w:hAnsi="Cambria Math"/>
                <w:sz w:val="24"/>
                <w:szCs w:val="24"/>
                <w:lang w:val="es-ES"/>
              </w:rPr>
              <m:t>j</m:t>
            </m:r>
          </m:sub>
        </m:sSub>
      </m:oMath>
      <w:r w:rsidRPr="00EC1119">
        <w:rPr>
          <w:rFonts w:eastAsiaTheme="minorEastAsia"/>
          <w:sz w:val="24"/>
          <w:szCs w:val="24"/>
          <w:lang w:val="es-ES"/>
        </w:rPr>
        <w:t xml:space="preserve">                                                                    (2.2)</w:t>
      </w:r>
    </w:p>
    <w:p w14:paraId="5FE74579" w14:textId="77777777" w:rsidR="00411A03" w:rsidRPr="00EC1119" w:rsidRDefault="00411A03" w:rsidP="00411A03">
      <w:pPr>
        <w:jc w:val="both"/>
        <w:rPr>
          <w:sz w:val="24"/>
          <w:szCs w:val="24"/>
          <w:lang w:val="es-ES"/>
        </w:rPr>
      </w:pPr>
      <w:r w:rsidRPr="00EC1119">
        <w:rPr>
          <w:sz w:val="24"/>
          <w:szCs w:val="24"/>
          <w:lang w:val="es-ES"/>
        </w:rPr>
        <w:t xml:space="preserve">Donde </w:t>
      </w:r>
      <m:oMath>
        <m:r>
          <w:rPr>
            <w:rFonts w:ascii="Cambria Math" w:hAnsi="Cambria Math"/>
            <w:sz w:val="24"/>
            <w:szCs w:val="24"/>
            <w:lang w:val="es-ES"/>
          </w:rPr>
          <m:t>x</m:t>
        </m:r>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j</m:t>
                </m:r>
              </m:sub>
            </m:sSub>
          </m:e>
        </m:d>
      </m:oMath>
      <w:r w:rsidRPr="00EC1119">
        <w:rPr>
          <w:sz w:val="24"/>
          <w:szCs w:val="24"/>
          <w:lang w:val="es-ES"/>
        </w:rPr>
        <w:t xml:space="preserve"> es el valor </w:t>
      </w:r>
      <w:proofErr w:type="gramStart"/>
      <w:r w:rsidRPr="00EC1119">
        <w:rPr>
          <w:sz w:val="24"/>
          <w:szCs w:val="24"/>
          <w:lang w:val="es-ES"/>
        </w:rPr>
        <w:t>de  la</w:t>
      </w:r>
      <w:proofErr w:type="gramEnd"/>
      <w:r w:rsidRPr="00EC1119">
        <w:rPr>
          <w:sz w:val="24"/>
          <w:szCs w:val="24"/>
          <w:lang w:val="es-ES"/>
        </w:rPr>
        <w:t xml:space="preserve">  función  ajustada  con  (2.1)  en  el  tiempo </w:t>
      </w:r>
      <m:oMath>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t</m:t>
            </m:r>
          </m:e>
          <m:sub>
            <m:r>
              <w:rPr>
                <w:rFonts w:ascii="Cambria Math" w:eastAsiaTheme="minorEastAsia" w:hAnsi="Cambria Math"/>
                <w:sz w:val="24"/>
                <w:szCs w:val="24"/>
                <w:lang w:val="es-ES"/>
              </w:rPr>
              <m:t>j</m:t>
            </m:r>
          </m:sub>
        </m:sSub>
      </m:oMath>
      <w:r w:rsidRPr="00EC1119">
        <w:rPr>
          <w:sz w:val="24"/>
          <w:szCs w:val="24"/>
          <w:lang w:val="es-ES"/>
        </w:rPr>
        <w:t xml:space="preserve">  y </w:t>
      </w:r>
      <m:oMath>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m:t>
            </m:r>
          </m:e>
          <m:sub>
            <m:r>
              <w:rPr>
                <w:rFonts w:ascii="Cambria Math" w:eastAsiaTheme="minorEastAsia" w:hAnsi="Cambria Math"/>
                <w:sz w:val="24"/>
                <w:szCs w:val="24"/>
                <w:lang w:val="es-ES"/>
              </w:rPr>
              <m:t>j</m:t>
            </m:r>
          </m:sub>
        </m:sSub>
      </m:oMath>
      <w:r w:rsidRPr="00EC1119">
        <w:rPr>
          <w:sz w:val="24"/>
          <w:szCs w:val="24"/>
          <w:lang w:val="es-ES"/>
        </w:rPr>
        <w:t xml:space="preserve"> es  el  error  de  estimación en el momento</w:t>
      </w:r>
      <m:oMath>
        <m:r>
          <w:rPr>
            <w:rFonts w:ascii="Cambria Math" w:hAnsi="Cambria Math"/>
            <w:sz w:val="24"/>
            <w:szCs w:val="24"/>
            <w:lang w:val="es-ES"/>
          </w:rPr>
          <m:t xml:space="preserve">  </m:t>
        </m:r>
        <m:sSub>
          <m:sSubPr>
            <m:ctrlPr>
              <w:rPr>
                <w:rFonts w:ascii="Cambria Math" w:eastAsiaTheme="minorEastAsia" w:hAnsi="Cambria Math"/>
                <w:i/>
                <w:sz w:val="24"/>
                <w:szCs w:val="24"/>
                <w:lang w:val="es-ES"/>
              </w:rPr>
            </m:ctrlPr>
          </m:sSubPr>
          <m:e>
            <m:r>
              <w:rPr>
                <w:rFonts w:ascii="Cambria Math" w:eastAsiaTheme="minorEastAsia" w:hAnsi="Cambria Math"/>
                <w:sz w:val="24"/>
                <w:szCs w:val="24"/>
                <w:lang w:val="es-ES"/>
              </w:rPr>
              <m:t>t</m:t>
            </m:r>
          </m:e>
          <m:sub>
            <m:r>
              <w:rPr>
                <w:rFonts w:ascii="Cambria Math" w:eastAsiaTheme="minorEastAsia" w:hAnsi="Cambria Math"/>
                <w:sz w:val="24"/>
                <w:szCs w:val="24"/>
                <w:lang w:val="es-ES"/>
              </w:rPr>
              <m:t>j</m:t>
            </m:r>
          </m:sub>
        </m:sSub>
      </m:oMath>
      <w:r w:rsidRPr="00EC1119">
        <w:rPr>
          <w:sz w:val="24"/>
          <w:szCs w:val="24"/>
          <w:lang w:val="es-ES"/>
        </w:rPr>
        <w:t>. Suponiendo que los errores se distribuyen normal, tienen media cero, varianza constante e independientes. La expresión por mínimos cuadrados ordinarios a minimizar es [Ramsay &amp; Silverman, 2005]:</w:t>
      </w:r>
    </w:p>
    <w:p w14:paraId="466127FF" w14:textId="77777777" w:rsidR="00411A03" w:rsidRPr="00EC1119" w:rsidRDefault="00411A03" w:rsidP="00411A03">
      <w:pPr>
        <w:jc w:val="center"/>
        <w:rPr>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SSE</m:t>
            </m:r>
          </m:e>
          <m:sub>
            <m:d>
              <m:dPr>
                <m:ctrlPr>
                  <w:rPr>
                    <w:rFonts w:ascii="Cambria Math" w:hAnsi="Cambria Math"/>
                    <w:i/>
                    <w:sz w:val="24"/>
                    <w:szCs w:val="24"/>
                    <w:lang w:val="es-ES"/>
                  </w:rPr>
                </m:ctrlPr>
              </m:dPr>
              <m:e>
                <m:r>
                  <w:rPr>
                    <w:rFonts w:ascii="Cambria Math" w:hAnsi="Cambria Math"/>
                    <w:sz w:val="24"/>
                    <w:szCs w:val="24"/>
                    <w:lang w:val="es-ES"/>
                  </w:rPr>
                  <m:t>C</m:t>
                </m:r>
              </m:e>
            </m:d>
          </m:sub>
        </m:sSub>
        <m:r>
          <w:rPr>
            <w:rFonts w:ascii="Cambria Math" w:hAnsi="Cambria Math"/>
            <w:sz w:val="24"/>
            <w:szCs w:val="24"/>
            <w:lang w:val="es-ES"/>
          </w:rPr>
          <m:t>=</m:t>
        </m:r>
        <m:nary>
          <m:naryPr>
            <m:chr m:val="∑"/>
            <m:limLoc m:val="undOvr"/>
            <m:ctrlPr>
              <w:rPr>
                <w:rFonts w:ascii="Cambria Math" w:hAnsi="Cambria Math"/>
                <w:i/>
                <w:sz w:val="24"/>
                <w:szCs w:val="24"/>
                <w:lang w:val="es-ES"/>
              </w:rPr>
            </m:ctrlPr>
          </m:naryPr>
          <m:sub>
            <m:r>
              <w:rPr>
                <w:rFonts w:ascii="Cambria Math" w:hAnsi="Cambria Math"/>
                <w:sz w:val="24"/>
                <w:szCs w:val="24"/>
                <w:lang w:val="es-ES"/>
              </w:rPr>
              <m:t>j</m:t>
            </m:r>
          </m:sub>
          <m:sup>
            <m:r>
              <w:rPr>
                <w:rFonts w:ascii="Cambria Math" w:hAnsi="Cambria Math"/>
                <w:sz w:val="24"/>
                <w:szCs w:val="24"/>
                <w:lang w:val="es-ES"/>
              </w:rPr>
              <m:t>n</m:t>
            </m:r>
          </m:sup>
          <m:e>
            <m:r>
              <w:rPr>
                <w:rFonts w:ascii="Cambria Math" w:hAnsi="Cambria Math"/>
                <w:sz w:val="24"/>
                <w:szCs w:val="24"/>
                <w:lang w:val="es-ES"/>
              </w:rPr>
              <m:t xml:space="preserve"> </m:t>
            </m:r>
            <m:sSup>
              <m:sSupPr>
                <m:ctrlPr>
                  <w:rPr>
                    <w:rFonts w:ascii="Cambria Math" w:hAnsi="Cambria Math"/>
                    <w:i/>
                    <w:sz w:val="24"/>
                    <w:szCs w:val="24"/>
                    <w:lang w:val="es-ES"/>
                  </w:rPr>
                </m:ctrlPr>
              </m:sSupPr>
              <m:e>
                <m:d>
                  <m:dPr>
                    <m:begChr m:val="["/>
                    <m:endChr m:val="]"/>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j</m:t>
                        </m:r>
                      </m:sub>
                    </m:sSub>
                    <m:r>
                      <w:rPr>
                        <w:rFonts w:ascii="Cambria Math" w:hAnsi="Cambria Math"/>
                        <w:sz w:val="24"/>
                        <w:szCs w:val="24"/>
                        <w:lang w:val="es-ES"/>
                      </w:rPr>
                      <m:t>-</m:t>
                    </m:r>
                    <m:nary>
                      <m:naryPr>
                        <m:chr m:val="∑"/>
                        <m:limLoc m:val="undOvr"/>
                        <m:ctrlPr>
                          <w:rPr>
                            <w:rFonts w:ascii="Cambria Math" w:hAnsi="Cambria Math"/>
                            <w:i/>
                            <w:sz w:val="24"/>
                            <w:szCs w:val="24"/>
                            <w:lang w:val="es-ES"/>
                          </w:rPr>
                        </m:ctrlPr>
                      </m:naryPr>
                      <m:sub>
                        <m:r>
                          <w:rPr>
                            <w:rFonts w:ascii="Cambria Math" w:hAnsi="Cambria Math"/>
                            <w:sz w:val="24"/>
                            <w:szCs w:val="24"/>
                            <w:lang w:val="es-ES"/>
                          </w:rPr>
                          <m:t>k</m:t>
                        </m:r>
                      </m:sub>
                      <m:sup>
                        <m:r>
                          <w:rPr>
                            <w:rFonts w:ascii="Cambria Math" w:hAnsi="Cambria Math"/>
                            <w:sz w:val="24"/>
                            <w:szCs w:val="24"/>
                            <w:lang w:val="es-ES"/>
                          </w:rPr>
                          <m:t>K</m:t>
                        </m:r>
                      </m:sup>
                      <m:e>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k</m:t>
                            </m:r>
                          </m:sub>
                        </m:sSub>
                        <m:sSub>
                          <m:sSubPr>
                            <m:ctrlPr>
                              <w:rPr>
                                <w:rFonts w:ascii="Cambria Math" w:hAnsi="Cambria Math"/>
                                <w:i/>
                                <w:sz w:val="24"/>
                                <w:szCs w:val="24"/>
                                <w:lang w:val="es-ES"/>
                              </w:rPr>
                            </m:ctrlPr>
                          </m:sSubPr>
                          <m:e>
                            <m:r>
                              <w:rPr>
                                <w:rFonts w:ascii="Cambria Math" w:hAnsi="Cambria Math"/>
                                <w:sz w:val="24"/>
                                <w:szCs w:val="24"/>
                                <w:lang w:val="es-ES"/>
                              </w:rPr>
                              <m:t>∅</m:t>
                            </m:r>
                          </m:e>
                          <m:sub>
                            <m:r>
                              <w:rPr>
                                <w:rFonts w:ascii="Cambria Math" w:hAnsi="Cambria Math"/>
                                <w:sz w:val="24"/>
                                <w:szCs w:val="24"/>
                                <w:lang w:val="es-ES"/>
                              </w:rPr>
                              <m:t>k</m:t>
                            </m:r>
                          </m:sub>
                        </m:sSub>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j</m:t>
                                </m:r>
                              </m:sub>
                            </m:sSub>
                          </m:e>
                        </m:d>
                      </m:e>
                    </m:nary>
                  </m:e>
                </m:d>
              </m:e>
              <m:sup>
                <m:r>
                  <w:rPr>
                    <w:rFonts w:ascii="Cambria Math" w:hAnsi="Cambria Math"/>
                    <w:sz w:val="24"/>
                    <w:szCs w:val="24"/>
                    <w:lang w:val="es-ES"/>
                  </w:rPr>
                  <m:t>2</m:t>
                </m:r>
              </m:sup>
            </m:sSup>
            <m:r>
              <w:rPr>
                <w:rFonts w:ascii="Cambria Math" w:hAnsi="Cambria Math"/>
                <w:sz w:val="24"/>
                <w:szCs w:val="24"/>
                <w:lang w:val="es-ES"/>
              </w:rPr>
              <m:t>=</m:t>
            </m:r>
            <m:nary>
              <m:naryPr>
                <m:chr m:val="∑"/>
                <m:limLoc m:val="undOvr"/>
                <m:ctrlPr>
                  <w:rPr>
                    <w:rFonts w:ascii="Cambria Math" w:hAnsi="Cambria Math"/>
                    <w:i/>
                    <w:sz w:val="24"/>
                    <w:szCs w:val="24"/>
                    <w:lang w:val="es-ES"/>
                  </w:rPr>
                </m:ctrlPr>
              </m:naryPr>
              <m:sub>
                <m:r>
                  <w:rPr>
                    <w:rFonts w:ascii="Cambria Math" w:hAnsi="Cambria Math"/>
                    <w:sz w:val="24"/>
                    <w:szCs w:val="24"/>
                    <w:lang w:val="es-ES"/>
                  </w:rPr>
                  <m:t>j</m:t>
                </m:r>
              </m:sub>
              <m:sup>
                <m:r>
                  <w:rPr>
                    <w:rFonts w:ascii="Cambria Math" w:hAnsi="Cambria Math"/>
                    <w:sz w:val="24"/>
                    <w:szCs w:val="24"/>
                    <w:lang w:val="es-ES"/>
                  </w:rPr>
                  <m:t>n</m:t>
                </m:r>
              </m:sup>
              <m:e>
                <m:sSup>
                  <m:sSupPr>
                    <m:ctrlPr>
                      <w:rPr>
                        <w:rFonts w:ascii="Cambria Math" w:hAnsi="Cambria Math"/>
                        <w:i/>
                        <w:sz w:val="24"/>
                        <w:szCs w:val="24"/>
                        <w:lang w:val="es-ES"/>
                      </w:rPr>
                    </m:ctrlPr>
                  </m:sSupPr>
                  <m:e>
                    <m:d>
                      <m:dPr>
                        <m:begChr m:val="["/>
                        <m:endChr m:val="]"/>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j</m:t>
                            </m:r>
                          </m:sub>
                        </m:sSub>
                        <m:r>
                          <w:rPr>
                            <w:rFonts w:ascii="Cambria Math" w:hAnsi="Cambria Math"/>
                            <w:sz w:val="24"/>
                            <w:szCs w:val="24"/>
                            <w:lang w:val="es-ES"/>
                          </w:rPr>
                          <m:t>-</m:t>
                        </m:r>
                        <m:sSup>
                          <m:sSupPr>
                            <m:ctrlPr>
                              <w:rPr>
                                <w:rFonts w:ascii="Cambria Math" w:hAnsi="Cambria Math"/>
                                <w:i/>
                                <w:sz w:val="24"/>
                                <w:szCs w:val="24"/>
                                <w:lang w:val="es-ES"/>
                              </w:rPr>
                            </m:ctrlPr>
                          </m:sSupPr>
                          <m:e>
                            <m:r>
                              <w:rPr>
                                <w:rFonts w:ascii="Cambria Math" w:hAnsi="Cambria Math"/>
                                <w:sz w:val="24"/>
                                <w:szCs w:val="24"/>
                                <w:lang w:val="es-ES"/>
                              </w:rPr>
                              <m:t>∅</m:t>
                            </m:r>
                          </m:e>
                          <m:sup>
                            <m:r>
                              <w:rPr>
                                <w:rFonts w:ascii="Cambria Math" w:hAnsi="Cambria Math"/>
                                <w:sz w:val="24"/>
                                <w:szCs w:val="24"/>
                                <w:lang w:val="es-ES"/>
                              </w:rPr>
                              <m:t>T</m:t>
                            </m:r>
                          </m:sup>
                        </m:s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j</m:t>
                                </m:r>
                              </m:sub>
                            </m:sSub>
                          </m:e>
                        </m:d>
                        <m:r>
                          <w:rPr>
                            <w:rFonts w:ascii="Cambria Math" w:hAnsi="Cambria Math"/>
                            <w:sz w:val="24"/>
                            <w:szCs w:val="24"/>
                            <w:lang w:val="es-ES"/>
                          </w:rPr>
                          <m:t>C</m:t>
                        </m:r>
                      </m:e>
                    </m:d>
                  </m:e>
                  <m:sup>
                    <m:r>
                      <w:rPr>
                        <w:rFonts w:ascii="Cambria Math" w:hAnsi="Cambria Math"/>
                        <w:sz w:val="24"/>
                        <w:szCs w:val="24"/>
                        <w:lang w:val="es-ES"/>
                      </w:rPr>
                      <m:t>2</m:t>
                    </m:r>
                  </m:sup>
                </m:sSup>
              </m:e>
            </m:nary>
            <m:r>
              <w:rPr>
                <w:rFonts w:ascii="Cambria Math" w:hAnsi="Cambria Math"/>
                <w:sz w:val="24"/>
                <w:szCs w:val="24"/>
                <w:lang w:val="es-ES"/>
              </w:rPr>
              <m:t xml:space="preserve"> </m:t>
            </m:r>
          </m:e>
        </m:nary>
      </m:oMath>
      <w:r w:rsidRPr="00EC1119">
        <w:rPr>
          <w:rFonts w:eastAsiaTheme="minorEastAsia"/>
          <w:sz w:val="24"/>
          <w:szCs w:val="24"/>
          <w:lang w:val="es-ES"/>
        </w:rPr>
        <w:t xml:space="preserve">                                (2.3)</w:t>
      </w:r>
    </w:p>
    <w:p w14:paraId="184830D7" w14:textId="77777777" w:rsidR="00411A03" w:rsidRPr="00EC1119" w:rsidRDefault="00411A03" w:rsidP="00411A03">
      <w:pPr>
        <w:jc w:val="both"/>
        <w:rPr>
          <w:sz w:val="24"/>
          <w:szCs w:val="24"/>
          <w:lang w:val="es-ES"/>
        </w:rPr>
      </w:pPr>
      <w:r w:rsidRPr="00EC1119">
        <w:rPr>
          <w:sz w:val="24"/>
          <w:szCs w:val="24"/>
          <w:lang w:val="es-ES"/>
        </w:rPr>
        <w:t xml:space="preserve">Sea </w:t>
      </w:r>
      <w:r w:rsidRPr="00EC1119">
        <w:rPr>
          <w:b/>
          <w:sz w:val="24"/>
          <w:szCs w:val="24"/>
          <w:lang w:val="es-ES"/>
        </w:rPr>
        <w:t>Y</w:t>
      </w:r>
      <w:r w:rsidRPr="00EC1119">
        <w:rPr>
          <w:sz w:val="24"/>
          <w:szCs w:val="24"/>
          <w:lang w:val="es-ES"/>
        </w:rPr>
        <w:t xml:space="preserve"> un vector conformado por todos los valores ajustados  </w:t>
      </w:r>
      <m:oMath>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j</m:t>
            </m:r>
          </m:sub>
        </m:sSub>
      </m:oMath>
      <w:r w:rsidRPr="00EC1119">
        <w:rPr>
          <w:rFonts w:eastAsiaTheme="minorEastAsia"/>
          <w:sz w:val="24"/>
          <w:szCs w:val="24"/>
          <w:lang w:val="es-ES"/>
        </w:rPr>
        <w:t xml:space="preserve">, </w:t>
      </w:r>
      <m:oMath>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oMath>
      <w:r w:rsidRPr="00EC1119">
        <w:rPr>
          <w:sz w:val="24"/>
          <w:szCs w:val="24"/>
          <w:lang w:val="es-ES"/>
        </w:rPr>
        <w:t xml:space="preserve"> una matriz de dimensión n x K compuesta por los valores de las K funciones base </w:t>
      </w:r>
      <m:oMath>
        <m:sSup>
          <m:sSupPr>
            <m:ctrlPr>
              <w:rPr>
                <w:rFonts w:ascii="Cambria Math" w:hAnsi="Cambria Math"/>
                <w:i/>
                <w:sz w:val="24"/>
                <w:szCs w:val="24"/>
                <w:lang w:val="es-ES"/>
              </w:rPr>
            </m:ctrlPr>
          </m:sSupPr>
          <m:e>
            <m:r>
              <w:rPr>
                <w:rFonts w:ascii="Cambria Math" w:hAnsi="Cambria Math"/>
                <w:sz w:val="24"/>
                <w:szCs w:val="24"/>
                <w:lang w:val="es-ES"/>
              </w:rPr>
              <m:t xml:space="preserve"> ∅</m:t>
            </m:r>
          </m:e>
          <m:sup>
            <m:r>
              <w:rPr>
                <w:rFonts w:ascii="Cambria Math" w:hAnsi="Cambria Math"/>
                <w:sz w:val="24"/>
                <w:szCs w:val="24"/>
                <w:lang w:val="es-ES"/>
              </w:rPr>
              <m:t>T</m:t>
            </m:r>
          </m:sup>
        </m:sSup>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t</m:t>
                </m:r>
              </m:e>
              <m:sub>
                <m:r>
                  <w:rPr>
                    <w:rFonts w:ascii="Cambria Math" w:hAnsi="Cambria Math"/>
                    <w:sz w:val="24"/>
                    <w:szCs w:val="24"/>
                    <w:lang w:val="es-ES"/>
                  </w:rPr>
                  <m:t>j</m:t>
                </m:r>
              </m:sub>
            </m:sSub>
          </m:e>
        </m:d>
      </m:oMath>
      <w:r w:rsidRPr="00EC1119">
        <w:rPr>
          <w:sz w:val="24"/>
          <w:szCs w:val="24"/>
          <w:lang w:val="es-ES"/>
        </w:rPr>
        <w:t xml:space="preserve">  y </w:t>
      </w:r>
      <m:oMath>
        <m:r>
          <w:rPr>
            <w:rFonts w:ascii="Cambria Math" w:hAnsi="Cambria Math"/>
            <w:sz w:val="24"/>
            <w:szCs w:val="24"/>
            <w:lang w:val="es-ES"/>
          </w:rPr>
          <m:t xml:space="preserve"> </m:t>
        </m:r>
        <m:r>
          <w:rPr>
            <w:rFonts w:ascii="Cambria Math" w:eastAsiaTheme="minorEastAsia" w:hAnsi="Cambria Math"/>
            <w:sz w:val="24"/>
            <w:szCs w:val="24"/>
            <w:lang w:val="es-ES"/>
          </w:rPr>
          <m:t xml:space="preserve">∈  </m:t>
        </m:r>
      </m:oMath>
      <w:r w:rsidRPr="00EC1119">
        <w:rPr>
          <w:sz w:val="24"/>
          <w:szCs w:val="24"/>
          <w:lang w:val="es-ES"/>
        </w:rPr>
        <w:t xml:space="preserve">el vector </w:t>
      </w:r>
      <w:r w:rsidRPr="00EC1119">
        <w:rPr>
          <w:sz w:val="24"/>
          <w:szCs w:val="24"/>
          <w:lang w:val="es-ES"/>
        </w:rPr>
        <w:lastRenderedPageBreak/>
        <w:t xml:space="preserve">de residuales de tamaño </w:t>
      </w:r>
      <w:r w:rsidRPr="00EC1119">
        <w:rPr>
          <w:i/>
          <w:iCs/>
          <w:sz w:val="24"/>
          <w:szCs w:val="24"/>
          <w:lang w:val="es-ES"/>
        </w:rPr>
        <w:t>n x 1</w:t>
      </w:r>
      <w:r w:rsidRPr="00EC1119">
        <w:rPr>
          <w:sz w:val="24"/>
          <w:szCs w:val="24"/>
          <w:lang w:val="es-ES"/>
        </w:rPr>
        <w:t>, por lo tanto, expresión (2.2) es expresada de forma matricial como (Ramsay &amp; Silverman, 2005):</w:t>
      </w:r>
    </w:p>
    <w:p w14:paraId="24865B5C" w14:textId="77777777" w:rsidR="00411A03" w:rsidRPr="00EC1119" w:rsidRDefault="00411A03" w:rsidP="00411A03">
      <w:pPr>
        <w:jc w:val="center"/>
        <w:rPr>
          <w:rFonts w:eastAsiaTheme="minorEastAsia"/>
          <w:sz w:val="24"/>
          <w:szCs w:val="24"/>
          <w:lang w:val="es-ES"/>
        </w:rPr>
      </w:pPr>
      <w:r w:rsidRPr="00EC1119">
        <w:rPr>
          <w:rFonts w:eastAsiaTheme="minorEastAsia"/>
          <w:sz w:val="24"/>
          <w:szCs w:val="24"/>
          <w:lang w:val="es-ES"/>
        </w:rPr>
        <w:t xml:space="preserve">                  </w:t>
      </w:r>
      <m:oMath>
        <m:r>
          <w:rPr>
            <w:rFonts w:ascii="Cambria Math" w:hAnsi="Cambria Math"/>
            <w:sz w:val="24"/>
            <w:szCs w:val="24"/>
            <w:lang w:val="es-ES"/>
          </w:rPr>
          <m:t>Y=</m:t>
        </m:r>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r>
          <w:rPr>
            <w:rFonts w:ascii="Cambria Math" w:eastAsiaTheme="minorEastAsia" w:hAnsi="Cambria Math"/>
            <w:sz w:val="24"/>
            <w:szCs w:val="24"/>
            <w:lang w:val="es-ES"/>
          </w:rPr>
          <m:t>C + ∈</m:t>
        </m:r>
      </m:oMath>
      <w:r w:rsidRPr="00EC1119">
        <w:rPr>
          <w:rFonts w:eastAsiaTheme="minorEastAsia"/>
          <w:sz w:val="24"/>
          <w:szCs w:val="24"/>
          <w:lang w:val="es-ES"/>
        </w:rPr>
        <w:t xml:space="preserve">                                                                                 (2.4)</w:t>
      </w:r>
    </w:p>
    <w:p w14:paraId="516B9530" w14:textId="77777777" w:rsidR="00411A03" w:rsidRPr="00EC1119" w:rsidRDefault="00411A03" w:rsidP="00411A03">
      <w:pPr>
        <w:jc w:val="both"/>
        <w:rPr>
          <w:sz w:val="24"/>
          <w:szCs w:val="24"/>
          <w:lang w:val="es-ES"/>
        </w:rPr>
      </w:pPr>
    </w:p>
    <w:p w14:paraId="27473831" w14:textId="77777777" w:rsidR="00411A03" w:rsidRPr="00EC1119" w:rsidRDefault="00411A03" w:rsidP="00411A03">
      <w:pPr>
        <w:jc w:val="both"/>
        <w:rPr>
          <w:sz w:val="24"/>
          <w:szCs w:val="24"/>
          <w:lang w:val="es-ES"/>
        </w:rPr>
      </w:pPr>
      <w:r w:rsidRPr="00EC1119">
        <w:rPr>
          <w:sz w:val="24"/>
          <w:szCs w:val="24"/>
          <w:lang w:val="es-ES"/>
        </w:rPr>
        <w:t>de esta manera, la expresión (2.3) se puede expresar como:</w:t>
      </w:r>
      <w:r w:rsidRPr="00EC1119">
        <w:rPr>
          <w:sz w:val="24"/>
          <w:szCs w:val="24"/>
          <w:lang w:val="es-ES"/>
        </w:rPr>
        <w:cr/>
      </w:r>
    </w:p>
    <w:p w14:paraId="72437CE6" w14:textId="77777777" w:rsidR="00411A03" w:rsidRPr="00EC1119" w:rsidRDefault="00411A03" w:rsidP="00411A03">
      <w:pPr>
        <w:jc w:val="center"/>
        <w:rPr>
          <w:sz w:val="24"/>
          <w:szCs w:val="24"/>
          <w:lang w:val="es-ES"/>
        </w:rPr>
      </w:pPr>
      <w:r w:rsidRPr="00EC1119">
        <w:rPr>
          <w:rFonts w:eastAsiaTheme="minorEastAsia"/>
          <w:sz w:val="24"/>
          <w:szCs w:val="24"/>
          <w:lang w:val="es-ES"/>
        </w:rPr>
        <w:t xml:space="preserve">            </w:t>
      </w:r>
      <m:oMath>
        <m:r>
          <w:rPr>
            <w:rFonts w:ascii="Cambria Math" w:hAnsi="Cambria Math"/>
            <w:sz w:val="24"/>
            <w:szCs w:val="24"/>
            <w:lang w:val="es-ES"/>
          </w:rPr>
          <m:t>SSE</m:t>
        </m:r>
        <m:d>
          <m:dPr>
            <m:ctrlPr>
              <w:rPr>
                <w:rFonts w:ascii="Cambria Math" w:hAnsi="Cambria Math"/>
                <w:i/>
                <w:sz w:val="24"/>
                <w:szCs w:val="24"/>
                <w:lang w:val="es-ES"/>
              </w:rPr>
            </m:ctrlPr>
          </m:dPr>
          <m:e>
            <m:r>
              <w:rPr>
                <w:rFonts w:ascii="Cambria Math" w:hAnsi="Cambria Math"/>
                <w:sz w:val="24"/>
                <w:szCs w:val="24"/>
                <w:lang w:val="es-ES"/>
              </w:rPr>
              <m:t>c</m:t>
            </m:r>
          </m:e>
        </m:d>
        <m:r>
          <w:rPr>
            <w:rFonts w:ascii="Cambria Math" w:hAnsi="Cambria Math"/>
            <w:sz w:val="24"/>
            <w:szCs w:val="24"/>
            <w:lang w:val="es-ES"/>
          </w:rPr>
          <m:t>=</m:t>
        </m:r>
        <m:sSup>
          <m:sSupPr>
            <m:ctrlPr>
              <w:rPr>
                <w:rFonts w:ascii="Cambria Math" w:hAnsi="Cambria Math"/>
                <w:i/>
                <w:sz w:val="24"/>
                <w:szCs w:val="24"/>
                <w:lang w:val="es-ES"/>
              </w:rPr>
            </m:ctrlPr>
          </m:sSupPr>
          <m:e>
            <m:d>
              <m:dPr>
                <m:ctrlPr>
                  <w:rPr>
                    <w:rFonts w:ascii="Cambria Math" w:hAnsi="Cambria Math"/>
                    <w:i/>
                    <w:sz w:val="24"/>
                    <w:szCs w:val="24"/>
                    <w:lang w:val="es-ES"/>
                  </w:rPr>
                </m:ctrlPr>
              </m:dPr>
              <m:e>
                <m:r>
                  <w:rPr>
                    <w:rFonts w:ascii="Cambria Math" w:hAnsi="Cambria Math"/>
                    <w:sz w:val="24"/>
                    <w:szCs w:val="24"/>
                    <w:lang w:val="es-ES"/>
                  </w:rPr>
                  <m:t>Y-</m:t>
                </m:r>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r>
                  <w:rPr>
                    <w:rFonts w:ascii="Cambria Math" w:eastAsiaTheme="minorEastAsia" w:hAnsi="Cambria Math"/>
                    <w:sz w:val="24"/>
                    <w:szCs w:val="24"/>
                    <w:lang w:val="es-ES"/>
                  </w:rPr>
                  <m:t>C</m:t>
                </m:r>
              </m:e>
            </m:d>
          </m:e>
          <m:sup>
            <m:r>
              <w:rPr>
                <w:rFonts w:ascii="Cambria Math" w:hAnsi="Cambria Math"/>
                <w:sz w:val="24"/>
                <w:szCs w:val="24"/>
                <w:lang w:val="es-ES"/>
              </w:rPr>
              <m:t>T</m:t>
            </m:r>
          </m:sup>
        </m:sSup>
        <m:d>
          <m:dPr>
            <m:ctrlPr>
              <w:rPr>
                <w:rFonts w:ascii="Cambria Math" w:hAnsi="Cambria Math"/>
                <w:i/>
                <w:sz w:val="24"/>
                <w:szCs w:val="24"/>
                <w:lang w:val="es-ES"/>
              </w:rPr>
            </m:ctrlPr>
          </m:dPr>
          <m:e>
            <m:r>
              <w:rPr>
                <w:rFonts w:ascii="Cambria Math" w:hAnsi="Cambria Math"/>
                <w:sz w:val="24"/>
                <w:szCs w:val="24"/>
                <w:lang w:val="es-ES"/>
              </w:rPr>
              <m:t>Y-</m:t>
            </m:r>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r>
              <w:rPr>
                <w:rFonts w:ascii="Cambria Math" w:eastAsiaTheme="minorEastAsia" w:hAnsi="Cambria Math"/>
                <w:sz w:val="24"/>
                <w:szCs w:val="24"/>
                <w:lang w:val="es-ES"/>
              </w:rPr>
              <m:t>C</m:t>
            </m:r>
          </m:e>
        </m:d>
      </m:oMath>
      <w:r w:rsidRPr="00EC1119">
        <w:rPr>
          <w:rFonts w:eastAsiaTheme="minorEastAsia"/>
          <w:sz w:val="24"/>
          <w:szCs w:val="24"/>
          <w:lang w:val="es-ES"/>
        </w:rPr>
        <w:t xml:space="preserve">                                                         (2.5)</w:t>
      </w:r>
    </w:p>
    <w:p w14:paraId="221B803D" w14:textId="77777777" w:rsidR="00411A03" w:rsidRPr="00EC1119" w:rsidRDefault="00411A03" w:rsidP="00411A03">
      <w:pPr>
        <w:jc w:val="both"/>
        <w:rPr>
          <w:sz w:val="24"/>
          <w:szCs w:val="24"/>
          <w:lang w:val="es-ES"/>
        </w:rPr>
      </w:pPr>
    </w:p>
    <w:p w14:paraId="1413613B" w14:textId="77777777" w:rsidR="00411A03" w:rsidRPr="00EC1119" w:rsidRDefault="00411A03" w:rsidP="00411A03">
      <w:pPr>
        <w:jc w:val="both"/>
        <w:rPr>
          <w:sz w:val="24"/>
          <w:szCs w:val="24"/>
          <w:lang w:val="es-ES"/>
        </w:rPr>
      </w:pPr>
    </w:p>
    <w:p w14:paraId="4685C955" w14:textId="77777777" w:rsidR="00411A03" w:rsidRPr="00EC1119" w:rsidRDefault="00411A03" w:rsidP="00411A03">
      <w:pPr>
        <w:jc w:val="both"/>
        <w:rPr>
          <w:sz w:val="24"/>
          <w:szCs w:val="24"/>
          <w:lang w:val="es-ES"/>
        </w:rPr>
      </w:pPr>
      <w:r w:rsidRPr="00EC1119">
        <w:rPr>
          <w:sz w:val="24"/>
          <w:szCs w:val="24"/>
          <w:lang w:val="es-ES"/>
        </w:rPr>
        <w:t xml:space="preserve">resolviendo el sistema para estimar </w:t>
      </w:r>
      <w:r w:rsidRPr="00EC1119">
        <w:rPr>
          <w:b/>
          <w:i/>
          <w:sz w:val="24"/>
          <w:szCs w:val="24"/>
          <w:lang w:val="es-ES"/>
        </w:rPr>
        <w:t>C</w:t>
      </w:r>
      <w:r w:rsidRPr="00EC1119">
        <w:rPr>
          <w:sz w:val="24"/>
          <w:szCs w:val="24"/>
          <w:lang w:val="es-ES"/>
        </w:rPr>
        <w:t xml:space="preserve">, se obtiene el estimador </w:t>
      </w:r>
      <m:oMath>
        <m:acc>
          <m:accPr>
            <m:ctrlPr>
              <w:rPr>
                <w:rFonts w:ascii="Cambria Math" w:hAnsi="Cambria Math"/>
                <w:b/>
                <w:i/>
                <w:sz w:val="24"/>
                <w:szCs w:val="24"/>
                <w:lang w:val="es-ES"/>
              </w:rPr>
            </m:ctrlPr>
          </m:accPr>
          <m:e>
            <m:r>
              <m:rPr>
                <m:sty m:val="bi"/>
              </m:rPr>
              <w:rPr>
                <w:rFonts w:ascii="Cambria Math" w:hAnsi="Cambria Math"/>
                <w:sz w:val="24"/>
                <w:szCs w:val="24"/>
                <w:lang w:val="es-ES"/>
              </w:rPr>
              <m:t>C</m:t>
            </m:r>
          </m:e>
        </m:acc>
      </m:oMath>
      <w:r w:rsidRPr="00EC1119">
        <w:rPr>
          <w:sz w:val="24"/>
          <w:szCs w:val="24"/>
          <w:lang w:val="es-ES"/>
        </w:rPr>
        <w:t xml:space="preserve"> que minimiza la suma de cuadrados de (2.5), y está dado por</w:t>
      </w:r>
    </w:p>
    <w:p w14:paraId="1589A4DD" w14:textId="77777777" w:rsidR="00411A03" w:rsidRPr="00EC1119" w:rsidRDefault="00411A03" w:rsidP="00411A03">
      <w:pPr>
        <w:jc w:val="center"/>
        <w:rPr>
          <w:sz w:val="24"/>
          <w:szCs w:val="24"/>
          <w:lang w:val="es-ES"/>
        </w:rPr>
      </w:pPr>
      <w:r w:rsidRPr="00EC1119">
        <w:rPr>
          <w:rFonts w:eastAsiaTheme="minorEastAsia"/>
          <w:sz w:val="24"/>
          <w:szCs w:val="24"/>
          <w:lang w:val="es-ES"/>
        </w:rPr>
        <w:t xml:space="preserve">                  </w:t>
      </w:r>
      <m:oMath>
        <m:acc>
          <m:accPr>
            <m:ctrlPr>
              <w:rPr>
                <w:rFonts w:ascii="Cambria Math" w:hAnsi="Cambria Math"/>
                <w:i/>
                <w:sz w:val="24"/>
                <w:szCs w:val="24"/>
                <w:lang w:val="es-ES"/>
              </w:rPr>
            </m:ctrlPr>
          </m:accPr>
          <m:e>
            <m:r>
              <w:rPr>
                <w:rFonts w:ascii="Cambria Math" w:hAnsi="Cambria Math"/>
                <w:sz w:val="24"/>
                <w:szCs w:val="24"/>
                <w:lang w:val="es-ES"/>
              </w:rPr>
              <m:t>C</m:t>
            </m:r>
          </m:e>
        </m:acc>
        <m:r>
          <w:rPr>
            <w:rFonts w:ascii="Cambria Math" w:hAnsi="Cambria Math"/>
            <w:sz w:val="24"/>
            <w:szCs w:val="24"/>
            <w:lang w:val="es-ES"/>
          </w:rPr>
          <m:t>=</m:t>
        </m:r>
        <m:sSup>
          <m:sSupPr>
            <m:ctrlPr>
              <w:rPr>
                <w:rFonts w:ascii="Cambria Math" w:hAnsi="Cambria Math"/>
                <w:i/>
                <w:sz w:val="24"/>
                <w:szCs w:val="24"/>
                <w:lang w:val="es-ES"/>
              </w:rPr>
            </m:ctrlPr>
          </m:sSupPr>
          <m:e>
            <m:d>
              <m:dPr>
                <m:ctrlPr>
                  <w:rPr>
                    <w:rFonts w:ascii="Cambria Math" w:hAnsi="Cambria Math"/>
                    <w:i/>
                    <w:sz w:val="24"/>
                    <w:szCs w:val="24"/>
                    <w:lang w:val="es-ES"/>
                  </w:rPr>
                </m:ctrlPr>
              </m:dPr>
              <m:e>
                <m:sSup>
                  <m:sSupPr>
                    <m:ctrlPr>
                      <w:rPr>
                        <w:rFonts w:ascii="Cambria Math" w:hAnsi="Cambria Math"/>
                        <w:i/>
                        <w:sz w:val="24"/>
                        <w:szCs w:val="24"/>
                        <w:lang w:val="es-ES"/>
                      </w:rPr>
                    </m:ctrlPr>
                  </m:sSupPr>
                  <m:e>
                    <m:r>
                      <m:rPr>
                        <m:sty m:val="p"/>
                      </m:rPr>
                      <w:rPr>
                        <w:rFonts w:ascii="Cambria Math" w:hAnsi="Cambria Math"/>
                        <w:sz w:val="24"/>
                        <w:szCs w:val="24"/>
                      </w:rPr>
                      <m:t>ΦΦ</m:t>
                    </m:r>
                  </m:e>
                  <m:sup>
                    <m:r>
                      <w:rPr>
                        <w:rFonts w:ascii="Cambria Math" w:hAnsi="Cambria Math"/>
                        <w:sz w:val="24"/>
                        <w:szCs w:val="24"/>
                        <w:lang w:val="es-ES"/>
                      </w:rPr>
                      <m:t>T</m:t>
                    </m:r>
                  </m:sup>
                </m:sSup>
              </m:e>
            </m:d>
          </m:e>
          <m:sup>
            <m:r>
              <w:rPr>
                <w:rFonts w:ascii="Cambria Math" w:hAnsi="Cambria Math"/>
                <w:sz w:val="24"/>
                <w:szCs w:val="24"/>
                <w:lang w:val="es-ES"/>
              </w:rPr>
              <m:t>-1</m:t>
            </m:r>
          </m:sup>
        </m:sSup>
        <m:r>
          <m:rPr>
            <m:sty m:val="p"/>
          </m:rPr>
          <w:rPr>
            <w:rFonts w:ascii="Cambria Math" w:hAnsi="Cambria Math"/>
            <w:sz w:val="24"/>
            <w:szCs w:val="24"/>
          </w:rPr>
          <m:t>Φ</m:t>
        </m:r>
        <m:r>
          <m:rPr>
            <m:sty m:val="p"/>
          </m:rPr>
          <w:rPr>
            <w:rFonts w:ascii="Cambria Math" w:hAnsi="Cambria Math"/>
            <w:sz w:val="24"/>
            <w:szCs w:val="24"/>
            <w:lang w:val="es-CO"/>
          </w:rPr>
          <m:t>Y</m:t>
        </m:r>
      </m:oMath>
      <w:r w:rsidRPr="00EC1119">
        <w:rPr>
          <w:rFonts w:eastAsiaTheme="minorEastAsia"/>
          <w:sz w:val="24"/>
          <w:szCs w:val="24"/>
          <w:lang w:val="es-CO"/>
        </w:rPr>
        <w:t xml:space="preserve">                                                                        (2.6)</w:t>
      </w:r>
    </w:p>
    <w:p w14:paraId="5C8663BD" w14:textId="77777777" w:rsidR="00411A03" w:rsidRPr="00EC1119" w:rsidRDefault="00411A03" w:rsidP="00411A03">
      <w:pPr>
        <w:jc w:val="both"/>
        <w:rPr>
          <w:sz w:val="24"/>
          <w:szCs w:val="24"/>
          <w:lang w:val="es-ES"/>
        </w:rPr>
      </w:pPr>
    </w:p>
    <w:p w14:paraId="2AAD1F01" w14:textId="77777777" w:rsidR="00411A03" w:rsidRPr="00EC1119" w:rsidRDefault="00411A03" w:rsidP="00411A03">
      <w:pPr>
        <w:jc w:val="both"/>
        <w:rPr>
          <w:sz w:val="24"/>
          <w:szCs w:val="24"/>
          <w:lang w:val="es-ES"/>
        </w:rPr>
      </w:pPr>
      <w:r w:rsidRPr="00EC1119">
        <w:rPr>
          <w:sz w:val="24"/>
          <w:szCs w:val="24"/>
          <w:lang w:val="es-ES"/>
        </w:rPr>
        <w:t>Finalmente, los valores ajustados son expresados como:</w:t>
      </w:r>
    </w:p>
    <w:p w14:paraId="4E8B3EEE" w14:textId="77777777" w:rsidR="00411A03" w:rsidRPr="00EC1119" w:rsidRDefault="00411A03" w:rsidP="00411A03">
      <w:pPr>
        <w:jc w:val="center"/>
        <w:rPr>
          <w:sz w:val="24"/>
          <w:szCs w:val="24"/>
          <w:lang w:val="es-ES"/>
        </w:rPr>
      </w:pPr>
      <w:r w:rsidRPr="00EC1119">
        <w:rPr>
          <w:rFonts w:eastAsiaTheme="minorEastAsia"/>
          <w:sz w:val="24"/>
          <w:szCs w:val="24"/>
          <w:lang w:val="es-ES"/>
        </w:rPr>
        <w:t xml:space="preserve">                  </w:t>
      </w:r>
      <m:oMath>
        <m:acc>
          <m:accPr>
            <m:ctrlPr>
              <w:rPr>
                <w:rFonts w:ascii="Cambria Math" w:hAnsi="Cambria Math"/>
                <w:i/>
                <w:sz w:val="24"/>
                <w:szCs w:val="24"/>
                <w:lang w:val="es-ES"/>
              </w:rPr>
            </m:ctrlPr>
          </m:accPr>
          <m:e>
            <m:r>
              <w:rPr>
                <w:rFonts w:ascii="Cambria Math" w:hAnsi="Cambria Math"/>
                <w:sz w:val="24"/>
                <w:szCs w:val="24"/>
                <w:lang w:val="es-ES"/>
              </w:rPr>
              <m:t>Y</m:t>
            </m:r>
          </m:e>
        </m:acc>
        <m:r>
          <w:rPr>
            <w:rFonts w:ascii="Cambria Math" w:hAnsi="Cambria Math"/>
            <w:sz w:val="24"/>
            <w:szCs w:val="24"/>
            <w:lang w:val="es-ES"/>
          </w:rPr>
          <m:t>=</m:t>
        </m:r>
        <m:sSup>
          <m:sSupPr>
            <m:ctrlPr>
              <w:rPr>
                <w:rFonts w:ascii="Cambria Math" w:hAnsi="Cambria Math"/>
                <w:i/>
                <w:sz w:val="24"/>
                <w:szCs w:val="24"/>
                <w:lang w:val="es-ES"/>
              </w:rPr>
            </m:ctrlPr>
          </m:sSupPr>
          <m:e>
            <m:sSup>
              <m:sSupPr>
                <m:ctrlPr>
                  <w:rPr>
                    <w:rFonts w:ascii="Cambria Math" w:hAnsi="Cambria Math"/>
                    <w:i/>
                    <w:sz w:val="24"/>
                    <w:szCs w:val="24"/>
                    <w:lang w:val="es-ES"/>
                  </w:rPr>
                </m:ctrlPr>
              </m:sSupPr>
              <m:e>
                <m:r>
                  <m:rPr>
                    <m:sty m:val="p"/>
                  </m:rPr>
                  <w:rPr>
                    <w:rFonts w:ascii="Cambria Math" w:hAnsi="Cambria Math"/>
                    <w:sz w:val="24"/>
                    <w:szCs w:val="24"/>
                  </w:rPr>
                  <m:t>Φ</m:t>
                </m:r>
              </m:e>
              <m:sup>
                <m:r>
                  <w:rPr>
                    <w:rFonts w:ascii="Cambria Math" w:hAnsi="Cambria Math"/>
                    <w:sz w:val="24"/>
                    <w:szCs w:val="24"/>
                    <w:lang w:val="es-ES"/>
                  </w:rPr>
                  <m:t>T</m:t>
                </m:r>
              </m:sup>
            </m:sSup>
            <m:d>
              <m:dPr>
                <m:ctrlPr>
                  <w:rPr>
                    <w:rFonts w:ascii="Cambria Math" w:hAnsi="Cambria Math"/>
                    <w:i/>
                    <w:sz w:val="24"/>
                    <w:szCs w:val="24"/>
                    <w:lang w:val="es-ES"/>
                  </w:rPr>
                </m:ctrlPr>
              </m:dPr>
              <m:e>
                <m:sSup>
                  <m:sSupPr>
                    <m:ctrlPr>
                      <w:rPr>
                        <w:rFonts w:ascii="Cambria Math" w:hAnsi="Cambria Math"/>
                        <w:i/>
                        <w:sz w:val="24"/>
                        <w:szCs w:val="24"/>
                        <w:lang w:val="es-ES"/>
                      </w:rPr>
                    </m:ctrlPr>
                  </m:sSupPr>
                  <m:e>
                    <m:r>
                      <m:rPr>
                        <m:sty m:val="p"/>
                      </m:rPr>
                      <w:rPr>
                        <w:rFonts w:ascii="Cambria Math" w:hAnsi="Cambria Math"/>
                        <w:sz w:val="24"/>
                        <w:szCs w:val="24"/>
                      </w:rPr>
                      <m:t>ΦΦ</m:t>
                    </m:r>
                  </m:e>
                  <m:sup>
                    <m:r>
                      <w:rPr>
                        <w:rFonts w:ascii="Cambria Math" w:hAnsi="Cambria Math"/>
                        <w:sz w:val="24"/>
                        <w:szCs w:val="24"/>
                        <w:lang w:val="es-ES"/>
                      </w:rPr>
                      <m:t>T</m:t>
                    </m:r>
                  </m:sup>
                </m:sSup>
              </m:e>
            </m:d>
          </m:e>
          <m:sup>
            <m:r>
              <w:rPr>
                <w:rFonts w:ascii="Cambria Math" w:hAnsi="Cambria Math"/>
                <w:sz w:val="24"/>
                <w:szCs w:val="24"/>
                <w:lang w:val="es-ES"/>
              </w:rPr>
              <m:t>-1</m:t>
            </m:r>
          </m:sup>
        </m:sSup>
        <m:r>
          <m:rPr>
            <m:sty m:val="p"/>
          </m:rPr>
          <w:rPr>
            <w:rFonts w:ascii="Cambria Math" w:hAnsi="Cambria Math"/>
            <w:sz w:val="24"/>
            <w:szCs w:val="24"/>
          </w:rPr>
          <m:t>Φ</m:t>
        </m:r>
        <m:r>
          <m:rPr>
            <m:sty m:val="p"/>
          </m:rPr>
          <w:rPr>
            <w:rFonts w:ascii="Cambria Math" w:hAnsi="Cambria Math"/>
            <w:sz w:val="24"/>
            <w:szCs w:val="24"/>
            <w:lang w:val="es-CO"/>
          </w:rPr>
          <m:t>Y</m:t>
        </m:r>
      </m:oMath>
      <w:r w:rsidRPr="00EC1119">
        <w:rPr>
          <w:rFonts w:eastAsiaTheme="minorEastAsia"/>
          <w:sz w:val="24"/>
          <w:szCs w:val="24"/>
          <w:lang w:val="es-CO"/>
        </w:rPr>
        <w:t xml:space="preserve">                                                                        (2.7)</w:t>
      </w:r>
    </w:p>
    <w:p w14:paraId="480E1BD9" w14:textId="77777777" w:rsidR="00411A03" w:rsidRPr="00411A03" w:rsidRDefault="00411A03" w:rsidP="00411A03">
      <w:pPr>
        <w:spacing w:line="360" w:lineRule="auto"/>
        <w:ind w:right="-1"/>
        <w:rPr>
          <w:b/>
          <w:sz w:val="24"/>
          <w:szCs w:val="24"/>
        </w:rPr>
      </w:pPr>
    </w:p>
    <w:p w14:paraId="239AF84F" w14:textId="77777777" w:rsidR="0023141A" w:rsidRPr="0023141A" w:rsidRDefault="0023141A" w:rsidP="0023141A">
      <w:pPr>
        <w:numPr>
          <w:ilvl w:val="0"/>
          <w:numId w:val="7"/>
        </w:numPr>
        <w:spacing w:line="360" w:lineRule="auto"/>
        <w:ind w:left="567" w:right="-1"/>
        <w:rPr>
          <w:b/>
          <w:sz w:val="24"/>
          <w:szCs w:val="24"/>
        </w:rPr>
      </w:pPr>
      <w:r w:rsidRPr="0023141A">
        <w:rPr>
          <w:b/>
          <w:sz w:val="24"/>
          <w:szCs w:val="24"/>
        </w:rPr>
        <w:t>Resultados</w:t>
      </w:r>
    </w:p>
    <w:p w14:paraId="680EAE02" w14:textId="0546D358" w:rsidR="0023141A" w:rsidRPr="0023141A" w:rsidRDefault="0023141A" w:rsidP="0023141A">
      <w:pPr>
        <w:pStyle w:val="Prrafodelista"/>
        <w:numPr>
          <w:ilvl w:val="1"/>
          <w:numId w:val="37"/>
        </w:numPr>
        <w:ind w:left="284" w:hanging="11"/>
        <w:jc w:val="both"/>
        <w:rPr>
          <w:b/>
          <w:bCs/>
          <w:sz w:val="24"/>
          <w:szCs w:val="24"/>
          <w:lang w:val="es-CO"/>
        </w:rPr>
      </w:pPr>
      <w:r w:rsidRPr="0023141A">
        <w:rPr>
          <w:b/>
          <w:bCs/>
          <w:sz w:val="24"/>
          <w:szCs w:val="24"/>
          <w:lang w:val="es-CO"/>
        </w:rPr>
        <w:t>Análisis exploratorio de datos</w:t>
      </w:r>
    </w:p>
    <w:p w14:paraId="16367405" w14:textId="77777777" w:rsidR="0023141A" w:rsidRPr="00EC1119" w:rsidRDefault="0023141A" w:rsidP="0023141A">
      <w:pPr>
        <w:jc w:val="both"/>
        <w:rPr>
          <w:sz w:val="24"/>
          <w:szCs w:val="24"/>
          <w:lang w:val="es-CO"/>
        </w:rPr>
      </w:pPr>
      <w:r w:rsidRPr="00EC1119">
        <w:rPr>
          <w:sz w:val="24"/>
          <w:szCs w:val="24"/>
          <w:lang w:val="es-CO"/>
        </w:rPr>
        <w:t xml:space="preserve">Para el estudio de la calidad del aire en el año 2023, se llevó a cabo un análisis exhaustivo utilizando registros diarios de contaminantes atmosféricos. Durante la fase preliminar del análisis, se identificaron y abordaron los datos faltantes, a través de un proceso de imputación múltiple, lo que permitió la reconstrucción de un conjunto de datos íntegro y fiable para su posterior evaluación. A continuación, se presenta </w:t>
      </w:r>
      <w:proofErr w:type="gramStart"/>
      <w:r w:rsidRPr="00EC1119">
        <w:rPr>
          <w:sz w:val="24"/>
          <w:szCs w:val="24"/>
          <w:lang w:val="es-CO"/>
        </w:rPr>
        <w:t>el análisis descriptivos</w:t>
      </w:r>
      <w:proofErr w:type="gramEnd"/>
      <w:r w:rsidRPr="00EC1119">
        <w:rPr>
          <w:sz w:val="24"/>
          <w:szCs w:val="24"/>
          <w:lang w:val="es-CO"/>
        </w:rPr>
        <w:t xml:space="preserve"> de los contaminantes atmosféricos por sitio.</w:t>
      </w:r>
    </w:p>
    <w:p w14:paraId="420DAFDE" w14:textId="77777777" w:rsidR="0023141A" w:rsidRPr="00EC1119" w:rsidRDefault="0023141A" w:rsidP="0023141A">
      <w:pPr>
        <w:jc w:val="both"/>
        <w:rPr>
          <w:sz w:val="24"/>
          <w:szCs w:val="24"/>
          <w:lang w:val="es-ES"/>
        </w:rPr>
      </w:pPr>
    </w:p>
    <w:p w14:paraId="2220BF80" w14:textId="77777777" w:rsidR="0023141A" w:rsidRPr="00EC1119" w:rsidRDefault="0023141A" w:rsidP="0023141A">
      <w:pPr>
        <w:jc w:val="both"/>
        <w:rPr>
          <w:sz w:val="24"/>
          <w:szCs w:val="24"/>
          <w:lang w:val="es-ES"/>
        </w:rPr>
      </w:pPr>
      <w:r w:rsidRPr="00EC1119">
        <w:rPr>
          <w:b/>
          <w:bCs/>
          <w:sz w:val="24"/>
          <w:szCs w:val="24"/>
          <w:lang w:val="es-ES"/>
        </w:rPr>
        <w:t>Tabla 1.</w:t>
      </w:r>
      <w:r w:rsidRPr="00EC1119">
        <w:rPr>
          <w:sz w:val="24"/>
          <w:szCs w:val="24"/>
          <w:lang w:val="es-ES"/>
        </w:rPr>
        <w:t xml:space="preserve"> Resúmenes descriptivos de los contaminantes analizados, en el año 2023.</w:t>
      </w:r>
    </w:p>
    <w:tbl>
      <w:tblPr>
        <w:tblW w:w="5000" w:type="pct"/>
        <w:jc w:val="center"/>
        <w:tblCellMar>
          <w:left w:w="70" w:type="dxa"/>
          <w:right w:w="70" w:type="dxa"/>
        </w:tblCellMar>
        <w:tblLook w:val="04A0" w:firstRow="1" w:lastRow="0" w:firstColumn="1" w:lastColumn="0" w:noHBand="0" w:noVBand="1"/>
      </w:tblPr>
      <w:tblGrid>
        <w:gridCol w:w="2300"/>
        <w:gridCol w:w="1017"/>
        <w:gridCol w:w="935"/>
        <w:gridCol w:w="973"/>
        <w:gridCol w:w="976"/>
        <w:gridCol w:w="975"/>
        <w:gridCol w:w="1328"/>
      </w:tblGrid>
      <w:tr w:rsidR="0023141A" w:rsidRPr="00EC1119" w14:paraId="1DACB83C" w14:textId="77777777" w:rsidTr="00F53AB3">
        <w:trPr>
          <w:trHeight w:val="680"/>
          <w:jc w:val="center"/>
        </w:trPr>
        <w:tc>
          <w:tcPr>
            <w:tcW w:w="1352" w:type="pct"/>
            <w:tcBorders>
              <w:top w:val="single" w:sz="4" w:space="0" w:color="auto"/>
              <w:left w:val="nil"/>
              <w:bottom w:val="single" w:sz="4" w:space="0" w:color="auto"/>
              <w:right w:val="nil"/>
            </w:tcBorders>
            <w:shd w:val="clear" w:color="auto" w:fill="auto"/>
            <w:noWrap/>
            <w:vAlign w:val="center"/>
            <w:hideMark/>
          </w:tcPr>
          <w:p w14:paraId="5D5F61E6" w14:textId="77777777" w:rsidR="0023141A" w:rsidRPr="00EC1119" w:rsidRDefault="0023141A" w:rsidP="00F53AB3">
            <w:pPr>
              <w:rPr>
                <w:b/>
                <w:bCs/>
                <w:lang w:val="es-CO" w:eastAsia="es-MX"/>
              </w:rPr>
            </w:pPr>
            <w:r w:rsidRPr="00EC1119">
              <w:rPr>
                <w:b/>
                <w:bCs/>
                <w:lang w:val="es-CO" w:eastAsia="es-MX"/>
              </w:rPr>
              <w:t>Contaminante/Sitio</w:t>
            </w:r>
          </w:p>
        </w:tc>
        <w:tc>
          <w:tcPr>
            <w:tcW w:w="598" w:type="pct"/>
            <w:tcBorders>
              <w:top w:val="single" w:sz="4" w:space="0" w:color="auto"/>
              <w:left w:val="nil"/>
              <w:bottom w:val="single" w:sz="4" w:space="0" w:color="auto"/>
              <w:right w:val="nil"/>
            </w:tcBorders>
            <w:shd w:val="clear" w:color="auto" w:fill="auto"/>
            <w:noWrap/>
            <w:vAlign w:val="center"/>
            <w:hideMark/>
          </w:tcPr>
          <w:p w14:paraId="2F3B8A93" w14:textId="77777777" w:rsidR="0023141A" w:rsidRPr="00EC1119" w:rsidRDefault="0023141A" w:rsidP="00F53AB3">
            <w:pPr>
              <w:jc w:val="center"/>
              <w:rPr>
                <w:b/>
                <w:bCs/>
                <w:lang w:val="es-CO" w:eastAsia="es-MX"/>
              </w:rPr>
            </w:pPr>
            <w:r w:rsidRPr="00EC1119">
              <w:rPr>
                <w:b/>
                <w:bCs/>
                <w:lang w:val="es-CO" w:eastAsia="es-MX"/>
              </w:rPr>
              <w:t>Promedio</w:t>
            </w:r>
          </w:p>
        </w:tc>
        <w:tc>
          <w:tcPr>
            <w:tcW w:w="550" w:type="pct"/>
            <w:tcBorders>
              <w:top w:val="single" w:sz="4" w:space="0" w:color="auto"/>
              <w:left w:val="nil"/>
              <w:bottom w:val="single" w:sz="4" w:space="0" w:color="auto"/>
              <w:right w:val="nil"/>
            </w:tcBorders>
            <w:shd w:val="clear" w:color="auto" w:fill="auto"/>
            <w:noWrap/>
            <w:vAlign w:val="center"/>
            <w:hideMark/>
          </w:tcPr>
          <w:p w14:paraId="1A3FF0F6" w14:textId="77777777" w:rsidR="0023141A" w:rsidRPr="00EC1119" w:rsidRDefault="0023141A" w:rsidP="00F53AB3">
            <w:pPr>
              <w:jc w:val="center"/>
              <w:rPr>
                <w:b/>
                <w:bCs/>
                <w:lang w:val="es-CO" w:eastAsia="es-MX"/>
              </w:rPr>
            </w:pPr>
            <w:r w:rsidRPr="00EC1119">
              <w:rPr>
                <w:b/>
                <w:bCs/>
                <w:lang w:val="es-CO" w:eastAsia="es-MX"/>
              </w:rPr>
              <w:t>Mediana</w:t>
            </w:r>
          </w:p>
        </w:tc>
        <w:tc>
          <w:tcPr>
            <w:tcW w:w="572" w:type="pct"/>
            <w:tcBorders>
              <w:top w:val="single" w:sz="4" w:space="0" w:color="auto"/>
              <w:left w:val="nil"/>
              <w:bottom w:val="single" w:sz="4" w:space="0" w:color="auto"/>
              <w:right w:val="nil"/>
            </w:tcBorders>
            <w:shd w:val="clear" w:color="auto" w:fill="auto"/>
            <w:noWrap/>
            <w:vAlign w:val="center"/>
            <w:hideMark/>
          </w:tcPr>
          <w:p w14:paraId="220BD2C1" w14:textId="77777777" w:rsidR="0023141A" w:rsidRPr="00EC1119" w:rsidRDefault="0023141A" w:rsidP="00F53AB3">
            <w:pPr>
              <w:jc w:val="center"/>
              <w:rPr>
                <w:b/>
                <w:bCs/>
                <w:lang w:val="es-CO" w:eastAsia="es-MX"/>
              </w:rPr>
            </w:pPr>
            <w:r w:rsidRPr="00EC1119">
              <w:rPr>
                <w:b/>
                <w:bCs/>
                <w:lang w:val="es-CO" w:eastAsia="es-MX"/>
              </w:rPr>
              <w:t>Mínimo</w:t>
            </w:r>
          </w:p>
        </w:tc>
        <w:tc>
          <w:tcPr>
            <w:tcW w:w="574" w:type="pct"/>
            <w:tcBorders>
              <w:top w:val="single" w:sz="4" w:space="0" w:color="auto"/>
              <w:left w:val="nil"/>
              <w:bottom w:val="single" w:sz="4" w:space="0" w:color="auto"/>
              <w:right w:val="nil"/>
            </w:tcBorders>
            <w:shd w:val="clear" w:color="auto" w:fill="auto"/>
            <w:noWrap/>
            <w:vAlign w:val="center"/>
            <w:hideMark/>
          </w:tcPr>
          <w:p w14:paraId="3AA0F13B" w14:textId="77777777" w:rsidR="0023141A" w:rsidRPr="00EC1119" w:rsidRDefault="0023141A" w:rsidP="00F53AB3">
            <w:pPr>
              <w:jc w:val="center"/>
              <w:rPr>
                <w:b/>
                <w:bCs/>
                <w:lang w:val="es-CO" w:eastAsia="es-MX"/>
              </w:rPr>
            </w:pPr>
            <w:r w:rsidRPr="00EC1119">
              <w:rPr>
                <w:b/>
                <w:bCs/>
                <w:lang w:val="es-CO" w:eastAsia="es-MX"/>
              </w:rPr>
              <w:t>Máximo</w:t>
            </w:r>
          </w:p>
        </w:tc>
        <w:tc>
          <w:tcPr>
            <w:tcW w:w="573" w:type="pct"/>
            <w:tcBorders>
              <w:top w:val="single" w:sz="4" w:space="0" w:color="auto"/>
              <w:left w:val="nil"/>
              <w:bottom w:val="single" w:sz="4" w:space="0" w:color="auto"/>
              <w:right w:val="nil"/>
            </w:tcBorders>
            <w:shd w:val="clear" w:color="auto" w:fill="auto"/>
            <w:vAlign w:val="center"/>
            <w:hideMark/>
          </w:tcPr>
          <w:p w14:paraId="4B534A56" w14:textId="77777777" w:rsidR="0023141A" w:rsidRPr="00EC1119" w:rsidRDefault="0023141A" w:rsidP="00F53AB3">
            <w:pPr>
              <w:jc w:val="center"/>
              <w:rPr>
                <w:b/>
                <w:bCs/>
                <w:lang w:val="es-CO" w:eastAsia="es-MX"/>
              </w:rPr>
            </w:pPr>
            <w:proofErr w:type="spellStart"/>
            <w:r w:rsidRPr="00EC1119">
              <w:rPr>
                <w:b/>
                <w:bCs/>
                <w:lang w:val="es-CO" w:eastAsia="es-MX"/>
              </w:rPr>
              <w:t>Desv</w:t>
            </w:r>
            <w:proofErr w:type="spellEnd"/>
            <w:r w:rsidRPr="00EC1119">
              <w:rPr>
                <w:b/>
                <w:bCs/>
                <w:lang w:val="es-CO" w:eastAsia="es-MX"/>
              </w:rPr>
              <w:t>. Estándar</w:t>
            </w:r>
          </w:p>
        </w:tc>
        <w:tc>
          <w:tcPr>
            <w:tcW w:w="781" w:type="pct"/>
            <w:tcBorders>
              <w:top w:val="single" w:sz="4" w:space="0" w:color="auto"/>
              <w:left w:val="nil"/>
              <w:bottom w:val="single" w:sz="4" w:space="0" w:color="auto"/>
              <w:right w:val="nil"/>
            </w:tcBorders>
            <w:shd w:val="clear" w:color="auto" w:fill="auto"/>
            <w:vAlign w:val="center"/>
            <w:hideMark/>
          </w:tcPr>
          <w:p w14:paraId="5557A047" w14:textId="77777777" w:rsidR="0023141A" w:rsidRPr="00EC1119" w:rsidRDefault="0023141A" w:rsidP="00F53AB3">
            <w:pPr>
              <w:jc w:val="center"/>
              <w:rPr>
                <w:b/>
                <w:bCs/>
                <w:lang w:val="es-CO" w:eastAsia="es-MX"/>
              </w:rPr>
            </w:pPr>
            <w:proofErr w:type="spellStart"/>
            <w:r w:rsidRPr="00EC1119">
              <w:rPr>
                <w:b/>
                <w:bCs/>
                <w:lang w:val="es-CO" w:eastAsia="es-MX"/>
              </w:rPr>
              <w:t>Coef</w:t>
            </w:r>
            <w:proofErr w:type="spellEnd"/>
            <w:r w:rsidRPr="00EC1119">
              <w:rPr>
                <w:b/>
                <w:bCs/>
                <w:lang w:val="es-CO" w:eastAsia="es-MX"/>
              </w:rPr>
              <w:t>. de variación (%)</w:t>
            </w:r>
          </w:p>
        </w:tc>
      </w:tr>
      <w:tr w:rsidR="0023141A" w:rsidRPr="00EC1119" w14:paraId="70BF419C"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0624939E" w14:textId="77777777" w:rsidR="0023141A" w:rsidRPr="00EC1119" w:rsidRDefault="0023141A" w:rsidP="00F53AB3">
            <w:pPr>
              <w:rPr>
                <w:b/>
                <w:bCs/>
                <w:lang w:val="es-CO" w:eastAsia="es-MX"/>
              </w:rPr>
            </w:pPr>
            <w:r w:rsidRPr="00EC1119">
              <w:rPr>
                <w:b/>
                <w:bCs/>
                <w:lang w:val="es-CO" w:eastAsia="es-MX"/>
              </w:rPr>
              <w:t>PM2.5</w:t>
            </w:r>
          </w:p>
        </w:tc>
        <w:tc>
          <w:tcPr>
            <w:tcW w:w="598" w:type="pct"/>
            <w:tcBorders>
              <w:top w:val="nil"/>
              <w:left w:val="nil"/>
              <w:bottom w:val="nil"/>
              <w:right w:val="nil"/>
            </w:tcBorders>
            <w:shd w:val="clear" w:color="auto" w:fill="auto"/>
            <w:noWrap/>
            <w:vAlign w:val="bottom"/>
            <w:hideMark/>
          </w:tcPr>
          <w:p w14:paraId="443FC241" w14:textId="77777777" w:rsidR="0023141A" w:rsidRPr="00EC1119" w:rsidRDefault="0023141A" w:rsidP="00F53AB3">
            <w:pPr>
              <w:rPr>
                <w:lang w:val="es-CO" w:eastAsia="es-MX"/>
              </w:rPr>
            </w:pPr>
            <w:r w:rsidRPr="00EC1119">
              <w:rPr>
                <w:lang w:val="es-CO" w:eastAsia="es-MX"/>
              </w:rPr>
              <w:t> </w:t>
            </w:r>
          </w:p>
        </w:tc>
        <w:tc>
          <w:tcPr>
            <w:tcW w:w="550" w:type="pct"/>
            <w:tcBorders>
              <w:top w:val="nil"/>
              <w:left w:val="nil"/>
              <w:bottom w:val="nil"/>
              <w:right w:val="nil"/>
            </w:tcBorders>
            <w:shd w:val="clear" w:color="auto" w:fill="auto"/>
            <w:noWrap/>
            <w:vAlign w:val="bottom"/>
            <w:hideMark/>
          </w:tcPr>
          <w:p w14:paraId="5D0C17BF" w14:textId="77777777" w:rsidR="0023141A" w:rsidRPr="00EC1119" w:rsidRDefault="0023141A" w:rsidP="00F53AB3">
            <w:pPr>
              <w:rPr>
                <w:lang w:val="es-CO" w:eastAsia="es-MX"/>
              </w:rPr>
            </w:pPr>
            <w:r w:rsidRPr="00EC1119">
              <w:rPr>
                <w:lang w:val="es-CO" w:eastAsia="es-MX"/>
              </w:rPr>
              <w:t> </w:t>
            </w:r>
          </w:p>
        </w:tc>
        <w:tc>
          <w:tcPr>
            <w:tcW w:w="572" w:type="pct"/>
            <w:tcBorders>
              <w:top w:val="nil"/>
              <w:left w:val="nil"/>
              <w:bottom w:val="nil"/>
              <w:right w:val="nil"/>
            </w:tcBorders>
            <w:shd w:val="clear" w:color="auto" w:fill="auto"/>
            <w:noWrap/>
            <w:vAlign w:val="bottom"/>
            <w:hideMark/>
          </w:tcPr>
          <w:p w14:paraId="33F7D5F3" w14:textId="77777777" w:rsidR="0023141A" w:rsidRPr="00EC1119" w:rsidRDefault="0023141A" w:rsidP="00F53AB3">
            <w:pPr>
              <w:rPr>
                <w:lang w:val="es-CO" w:eastAsia="es-MX"/>
              </w:rPr>
            </w:pPr>
            <w:r w:rsidRPr="00EC1119">
              <w:rPr>
                <w:lang w:val="es-CO" w:eastAsia="es-MX"/>
              </w:rPr>
              <w:t> </w:t>
            </w:r>
          </w:p>
        </w:tc>
        <w:tc>
          <w:tcPr>
            <w:tcW w:w="574" w:type="pct"/>
            <w:tcBorders>
              <w:top w:val="nil"/>
              <w:left w:val="nil"/>
              <w:bottom w:val="nil"/>
              <w:right w:val="nil"/>
            </w:tcBorders>
            <w:shd w:val="clear" w:color="auto" w:fill="auto"/>
            <w:noWrap/>
            <w:vAlign w:val="bottom"/>
            <w:hideMark/>
          </w:tcPr>
          <w:p w14:paraId="45D7A3C5" w14:textId="77777777" w:rsidR="0023141A" w:rsidRPr="00EC1119" w:rsidRDefault="0023141A" w:rsidP="00F53AB3">
            <w:pPr>
              <w:rPr>
                <w:lang w:val="es-CO" w:eastAsia="es-MX"/>
              </w:rPr>
            </w:pPr>
            <w:r w:rsidRPr="00EC1119">
              <w:rPr>
                <w:lang w:val="es-CO" w:eastAsia="es-MX"/>
              </w:rPr>
              <w:t> </w:t>
            </w:r>
          </w:p>
        </w:tc>
        <w:tc>
          <w:tcPr>
            <w:tcW w:w="573" w:type="pct"/>
            <w:tcBorders>
              <w:top w:val="nil"/>
              <w:left w:val="nil"/>
              <w:bottom w:val="nil"/>
              <w:right w:val="nil"/>
            </w:tcBorders>
            <w:shd w:val="clear" w:color="auto" w:fill="auto"/>
            <w:noWrap/>
            <w:vAlign w:val="bottom"/>
            <w:hideMark/>
          </w:tcPr>
          <w:p w14:paraId="7CB283E5" w14:textId="77777777" w:rsidR="0023141A" w:rsidRPr="00EC1119" w:rsidRDefault="0023141A" w:rsidP="00F53AB3">
            <w:pPr>
              <w:rPr>
                <w:lang w:val="es-CO" w:eastAsia="es-MX"/>
              </w:rPr>
            </w:pPr>
            <w:r w:rsidRPr="00EC1119">
              <w:rPr>
                <w:lang w:val="es-CO" w:eastAsia="es-MX"/>
              </w:rPr>
              <w:t> </w:t>
            </w:r>
          </w:p>
        </w:tc>
        <w:tc>
          <w:tcPr>
            <w:tcW w:w="781" w:type="pct"/>
            <w:tcBorders>
              <w:top w:val="nil"/>
              <w:left w:val="nil"/>
              <w:bottom w:val="nil"/>
              <w:right w:val="nil"/>
            </w:tcBorders>
            <w:shd w:val="clear" w:color="auto" w:fill="auto"/>
            <w:noWrap/>
            <w:vAlign w:val="bottom"/>
            <w:hideMark/>
          </w:tcPr>
          <w:p w14:paraId="677AE565" w14:textId="77777777" w:rsidR="0023141A" w:rsidRPr="00EC1119" w:rsidRDefault="0023141A" w:rsidP="00F53AB3">
            <w:pPr>
              <w:rPr>
                <w:lang w:val="es-CO" w:eastAsia="es-MX"/>
              </w:rPr>
            </w:pPr>
            <w:r w:rsidRPr="00EC1119">
              <w:rPr>
                <w:lang w:val="es-CO" w:eastAsia="es-MX"/>
              </w:rPr>
              <w:t> </w:t>
            </w:r>
          </w:p>
        </w:tc>
      </w:tr>
      <w:tr w:rsidR="0023141A" w:rsidRPr="00EC1119" w14:paraId="30C97C11"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7444E96A" w14:textId="77777777" w:rsidR="0023141A" w:rsidRPr="00EC1119" w:rsidRDefault="0023141A" w:rsidP="00F53AB3">
            <w:pPr>
              <w:ind w:firstLineChars="100" w:firstLine="200"/>
              <w:rPr>
                <w:lang w:val="es-CO" w:eastAsia="es-MX"/>
              </w:rPr>
            </w:pPr>
            <w:proofErr w:type="spellStart"/>
            <w:r w:rsidRPr="00EC1119">
              <w:rPr>
                <w:lang w:val="es-CO" w:eastAsia="es-MX"/>
              </w:rPr>
              <w:t>Campo_de_Marte</w:t>
            </w:r>
            <w:proofErr w:type="spellEnd"/>
          </w:p>
        </w:tc>
        <w:tc>
          <w:tcPr>
            <w:tcW w:w="598" w:type="pct"/>
            <w:tcBorders>
              <w:top w:val="nil"/>
              <w:left w:val="nil"/>
              <w:bottom w:val="nil"/>
              <w:right w:val="nil"/>
            </w:tcBorders>
            <w:shd w:val="clear" w:color="auto" w:fill="auto"/>
            <w:noWrap/>
            <w:vAlign w:val="bottom"/>
            <w:hideMark/>
          </w:tcPr>
          <w:p w14:paraId="12BB8F81" w14:textId="77777777" w:rsidR="0023141A" w:rsidRPr="00EC1119" w:rsidRDefault="0023141A" w:rsidP="00F53AB3">
            <w:pPr>
              <w:jc w:val="center"/>
              <w:rPr>
                <w:lang w:val="es-CO" w:eastAsia="es-MX"/>
              </w:rPr>
            </w:pPr>
            <w:r w:rsidRPr="00EC1119">
              <w:rPr>
                <w:lang w:val="es-CO" w:eastAsia="es-MX"/>
              </w:rPr>
              <w:t>61.3</w:t>
            </w:r>
          </w:p>
        </w:tc>
        <w:tc>
          <w:tcPr>
            <w:tcW w:w="550" w:type="pct"/>
            <w:tcBorders>
              <w:top w:val="nil"/>
              <w:left w:val="nil"/>
              <w:bottom w:val="nil"/>
              <w:right w:val="nil"/>
            </w:tcBorders>
            <w:shd w:val="clear" w:color="auto" w:fill="auto"/>
            <w:noWrap/>
            <w:vAlign w:val="bottom"/>
            <w:hideMark/>
          </w:tcPr>
          <w:p w14:paraId="407D156A" w14:textId="77777777" w:rsidR="0023141A" w:rsidRPr="00EC1119" w:rsidRDefault="0023141A" w:rsidP="00F53AB3">
            <w:pPr>
              <w:jc w:val="center"/>
              <w:rPr>
                <w:lang w:val="es-CO" w:eastAsia="es-MX"/>
              </w:rPr>
            </w:pPr>
            <w:r w:rsidRPr="00EC1119">
              <w:rPr>
                <w:lang w:val="es-CO" w:eastAsia="es-MX"/>
              </w:rPr>
              <w:t>61.0</w:t>
            </w:r>
          </w:p>
        </w:tc>
        <w:tc>
          <w:tcPr>
            <w:tcW w:w="572" w:type="pct"/>
            <w:tcBorders>
              <w:top w:val="nil"/>
              <w:left w:val="nil"/>
              <w:bottom w:val="nil"/>
              <w:right w:val="nil"/>
            </w:tcBorders>
            <w:shd w:val="clear" w:color="auto" w:fill="auto"/>
            <w:noWrap/>
            <w:vAlign w:val="bottom"/>
            <w:hideMark/>
          </w:tcPr>
          <w:p w14:paraId="19AB5D46"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5E261122" w14:textId="77777777" w:rsidR="0023141A" w:rsidRPr="00EC1119" w:rsidRDefault="0023141A" w:rsidP="00F53AB3">
            <w:pPr>
              <w:jc w:val="center"/>
              <w:rPr>
                <w:lang w:val="es-CO" w:eastAsia="es-MX"/>
              </w:rPr>
            </w:pPr>
            <w:r w:rsidRPr="00EC1119">
              <w:rPr>
                <w:lang w:val="es-CO" w:eastAsia="es-MX"/>
              </w:rPr>
              <w:t>118.0</w:t>
            </w:r>
          </w:p>
        </w:tc>
        <w:tc>
          <w:tcPr>
            <w:tcW w:w="573" w:type="pct"/>
            <w:tcBorders>
              <w:top w:val="nil"/>
              <w:left w:val="nil"/>
              <w:bottom w:val="nil"/>
              <w:right w:val="nil"/>
            </w:tcBorders>
            <w:shd w:val="clear" w:color="auto" w:fill="auto"/>
            <w:noWrap/>
            <w:vAlign w:val="bottom"/>
            <w:hideMark/>
          </w:tcPr>
          <w:p w14:paraId="756C22DC" w14:textId="77777777" w:rsidR="0023141A" w:rsidRPr="00EC1119" w:rsidRDefault="0023141A" w:rsidP="00F53AB3">
            <w:pPr>
              <w:jc w:val="center"/>
              <w:rPr>
                <w:lang w:val="es-CO" w:eastAsia="es-MX"/>
              </w:rPr>
            </w:pPr>
            <w:r w:rsidRPr="00EC1119">
              <w:rPr>
                <w:lang w:val="es-CO" w:eastAsia="es-MX"/>
              </w:rPr>
              <w:t>17.7</w:t>
            </w:r>
          </w:p>
        </w:tc>
        <w:tc>
          <w:tcPr>
            <w:tcW w:w="781" w:type="pct"/>
            <w:tcBorders>
              <w:top w:val="nil"/>
              <w:left w:val="nil"/>
              <w:bottom w:val="nil"/>
              <w:right w:val="nil"/>
            </w:tcBorders>
            <w:shd w:val="clear" w:color="auto" w:fill="auto"/>
            <w:noWrap/>
            <w:vAlign w:val="bottom"/>
            <w:hideMark/>
          </w:tcPr>
          <w:p w14:paraId="50824623" w14:textId="77777777" w:rsidR="0023141A" w:rsidRPr="00EC1119" w:rsidRDefault="0023141A" w:rsidP="00F53AB3">
            <w:pPr>
              <w:jc w:val="center"/>
              <w:rPr>
                <w:lang w:val="es-CO" w:eastAsia="es-MX"/>
              </w:rPr>
            </w:pPr>
            <w:r w:rsidRPr="00EC1119">
              <w:rPr>
                <w:lang w:val="es-CO" w:eastAsia="es-MX"/>
              </w:rPr>
              <w:t>29.0</w:t>
            </w:r>
          </w:p>
        </w:tc>
      </w:tr>
      <w:tr w:rsidR="0023141A" w:rsidRPr="00EC1119" w14:paraId="5032980D"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3CA9595D" w14:textId="77777777" w:rsidR="0023141A" w:rsidRPr="00EC1119" w:rsidRDefault="0023141A" w:rsidP="00F53AB3">
            <w:pPr>
              <w:ind w:firstLineChars="100" w:firstLine="200"/>
              <w:rPr>
                <w:lang w:val="es-CO" w:eastAsia="es-MX"/>
              </w:rPr>
            </w:pPr>
            <w:proofErr w:type="spellStart"/>
            <w:r w:rsidRPr="00EC1119">
              <w:rPr>
                <w:lang w:val="es-CO" w:eastAsia="es-MX"/>
              </w:rPr>
              <w:t>Carabayllo</w:t>
            </w:r>
            <w:proofErr w:type="spellEnd"/>
          </w:p>
        </w:tc>
        <w:tc>
          <w:tcPr>
            <w:tcW w:w="598" w:type="pct"/>
            <w:tcBorders>
              <w:top w:val="nil"/>
              <w:left w:val="nil"/>
              <w:bottom w:val="nil"/>
              <w:right w:val="nil"/>
            </w:tcBorders>
            <w:shd w:val="clear" w:color="auto" w:fill="auto"/>
            <w:noWrap/>
            <w:vAlign w:val="bottom"/>
            <w:hideMark/>
          </w:tcPr>
          <w:p w14:paraId="47D61FAC" w14:textId="77777777" w:rsidR="0023141A" w:rsidRPr="00EC1119" w:rsidRDefault="0023141A" w:rsidP="00F53AB3">
            <w:pPr>
              <w:jc w:val="center"/>
              <w:rPr>
                <w:lang w:val="es-CO" w:eastAsia="es-MX"/>
              </w:rPr>
            </w:pPr>
            <w:r w:rsidRPr="00EC1119">
              <w:rPr>
                <w:lang w:val="es-CO" w:eastAsia="es-MX"/>
              </w:rPr>
              <w:t>84.4</w:t>
            </w:r>
          </w:p>
        </w:tc>
        <w:tc>
          <w:tcPr>
            <w:tcW w:w="550" w:type="pct"/>
            <w:tcBorders>
              <w:top w:val="nil"/>
              <w:left w:val="nil"/>
              <w:bottom w:val="nil"/>
              <w:right w:val="nil"/>
            </w:tcBorders>
            <w:shd w:val="clear" w:color="auto" w:fill="auto"/>
            <w:noWrap/>
            <w:vAlign w:val="bottom"/>
            <w:hideMark/>
          </w:tcPr>
          <w:p w14:paraId="7C89EFFC" w14:textId="77777777" w:rsidR="0023141A" w:rsidRPr="00EC1119" w:rsidRDefault="0023141A" w:rsidP="00F53AB3">
            <w:pPr>
              <w:jc w:val="center"/>
              <w:rPr>
                <w:lang w:val="es-CO" w:eastAsia="es-MX"/>
              </w:rPr>
            </w:pPr>
            <w:r w:rsidRPr="00EC1119">
              <w:rPr>
                <w:lang w:val="es-CO" w:eastAsia="es-MX"/>
              </w:rPr>
              <w:t>83.0</w:t>
            </w:r>
          </w:p>
        </w:tc>
        <w:tc>
          <w:tcPr>
            <w:tcW w:w="572" w:type="pct"/>
            <w:tcBorders>
              <w:top w:val="nil"/>
              <w:left w:val="nil"/>
              <w:bottom w:val="nil"/>
              <w:right w:val="nil"/>
            </w:tcBorders>
            <w:shd w:val="clear" w:color="auto" w:fill="auto"/>
            <w:noWrap/>
            <w:vAlign w:val="bottom"/>
            <w:hideMark/>
          </w:tcPr>
          <w:p w14:paraId="52C882F8" w14:textId="77777777" w:rsidR="0023141A" w:rsidRPr="00EC1119" w:rsidRDefault="0023141A" w:rsidP="00F53AB3">
            <w:pPr>
              <w:jc w:val="center"/>
              <w:rPr>
                <w:lang w:val="es-CO" w:eastAsia="es-MX"/>
              </w:rPr>
            </w:pPr>
            <w:r w:rsidRPr="00EC1119">
              <w:rPr>
                <w:lang w:val="es-CO" w:eastAsia="es-MX"/>
              </w:rPr>
              <w:t>47.0</w:t>
            </w:r>
          </w:p>
        </w:tc>
        <w:tc>
          <w:tcPr>
            <w:tcW w:w="574" w:type="pct"/>
            <w:tcBorders>
              <w:top w:val="nil"/>
              <w:left w:val="nil"/>
              <w:bottom w:val="nil"/>
              <w:right w:val="nil"/>
            </w:tcBorders>
            <w:shd w:val="clear" w:color="auto" w:fill="auto"/>
            <w:noWrap/>
            <w:vAlign w:val="bottom"/>
            <w:hideMark/>
          </w:tcPr>
          <w:p w14:paraId="715537A3" w14:textId="77777777" w:rsidR="0023141A" w:rsidRPr="00EC1119" w:rsidRDefault="0023141A" w:rsidP="00F53AB3">
            <w:pPr>
              <w:jc w:val="center"/>
              <w:rPr>
                <w:lang w:val="es-CO" w:eastAsia="es-MX"/>
              </w:rPr>
            </w:pPr>
            <w:r w:rsidRPr="00EC1119">
              <w:rPr>
                <w:lang w:val="es-CO" w:eastAsia="es-MX"/>
              </w:rPr>
              <w:t>130.0</w:t>
            </w:r>
          </w:p>
        </w:tc>
        <w:tc>
          <w:tcPr>
            <w:tcW w:w="573" w:type="pct"/>
            <w:tcBorders>
              <w:top w:val="nil"/>
              <w:left w:val="nil"/>
              <w:bottom w:val="nil"/>
              <w:right w:val="nil"/>
            </w:tcBorders>
            <w:shd w:val="clear" w:color="auto" w:fill="auto"/>
            <w:noWrap/>
            <w:vAlign w:val="bottom"/>
            <w:hideMark/>
          </w:tcPr>
          <w:p w14:paraId="6D44565B" w14:textId="77777777" w:rsidR="0023141A" w:rsidRPr="00EC1119" w:rsidRDefault="0023141A" w:rsidP="00F53AB3">
            <w:pPr>
              <w:jc w:val="center"/>
              <w:rPr>
                <w:lang w:val="es-CO" w:eastAsia="es-MX"/>
              </w:rPr>
            </w:pPr>
            <w:r w:rsidRPr="00EC1119">
              <w:rPr>
                <w:lang w:val="es-CO" w:eastAsia="es-MX"/>
              </w:rPr>
              <w:t>14.6</w:t>
            </w:r>
          </w:p>
        </w:tc>
        <w:tc>
          <w:tcPr>
            <w:tcW w:w="781" w:type="pct"/>
            <w:tcBorders>
              <w:top w:val="nil"/>
              <w:left w:val="nil"/>
              <w:bottom w:val="nil"/>
              <w:right w:val="nil"/>
            </w:tcBorders>
            <w:shd w:val="clear" w:color="auto" w:fill="auto"/>
            <w:noWrap/>
            <w:vAlign w:val="bottom"/>
            <w:hideMark/>
          </w:tcPr>
          <w:p w14:paraId="71B1E1DC" w14:textId="77777777" w:rsidR="0023141A" w:rsidRPr="00EC1119" w:rsidRDefault="0023141A" w:rsidP="00F53AB3">
            <w:pPr>
              <w:jc w:val="center"/>
              <w:rPr>
                <w:lang w:val="es-CO" w:eastAsia="es-MX"/>
              </w:rPr>
            </w:pPr>
            <w:r w:rsidRPr="00EC1119">
              <w:rPr>
                <w:lang w:val="es-CO" w:eastAsia="es-MX"/>
              </w:rPr>
              <w:t>17.0</w:t>
            </w:r>
          </w:p>
        </w:tc>
      </w:tr>
      <w:tr w:rsidR="0023141A" w:rsidRPr="00EC1119" w14:paraId="5D2510EA"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4000108D" w14:textId="77777777" w:rsidR="0023141A" w:rsidRPr="00EC1119" w:rsidRDefault="0023141A" w:rsidP="00F53AB3">
            <w:pPr>
              <w:ind w:firstLineChars="100" w:firstLine="200"/>
              <w:rPr>
                <w:lang w:val="es-CO" w:eastAsia="es-MX"/>
              </w:rPr>
            </w:pPr>
            <w:proofErr w:type="spellStart"/>
            <w:r w:rsidRPr="00EC1119">
              <w:rPr>
                <w:lang w:val="es-CO" w:eastAsia="es-MX"/>
              </w:rPr>
              <w:t>Puente_Piedra</w:t>
            </w:r>
            <w:proofErr w:type="spellEnd"/>
          </w:p>
        </w:tc>
        <w:tc>
          <w:tcPr>
            <w:tcW w:w="598" w:type="pct"/>
            <w:tcBorders>
              <w:top w:val="nil"/>
              <w:left w:val="nil"/>
              <w:bottom w:val="nil"/>
              <w:right w:val="nil"/>
            </w:tcBorders>
            <w:shd w:val="clear" w:color="auto" w:fill="auto"/>
            <w:noWrap/>
            <w:vAlign w:val="bottom"/>
            <w:hideMark/>
          </w:tcPr>
          <w:p w14:paraId="5D87C54A" w14:textId="77777777" w:rsidR="0023141A" w:rsidRPr="00EC1119" w:rsidRDefault="0023141A" w:rsidP="00F53AB3">
            <w:pPr>
              <w:jc w:val="center"/>
              <w:rPr>
                <w:lang w:val="es-CO" w:eastAsia="es-MX"/>
              </w:rPr>
            </w:pPr>
            <w:r w:rsidRPr="00EC1119">
              <w:rPr>
                <w:lang w:val="es-CO" w:eastAsia="es-MX"/>
              </w:rPr>
              <w:t>61.6</w:t>
            </w:r>
          </w:p>
        </w:tc>
        <w:tc>
          <w:tcPr>
            <w:tcW w:w="550" w:type="pct"/>
            <w:tcBorders>
              <w:top w:val="nil"/>
              <w:left w:val="nil"/>
              <w:bottom w:val="nil"/>
              <w:right w:val="nil"/>
            </w:tcBorders>
            <w:shd w:val="clear" w:color="auto" w:fill="auto"/>
            <w:noWrap/>
            <w:vAlign w:val="bottom"/>
            <w:hideMark/>
          </w:tcPr>
          <w:p w14:paraId="3CA8A071" w14:textId="77777777" w:rsidR="0023141A" w:rsidRPr="00EC1119" w:rsidRDefault="0023141A" w:rsidP="00F53AB3">
            <w:pPr>
              <w:jc w:val="center"/>
              <w:rPr>
                <w:lang w:val="es-CO" w:eastAsia="es-MX"/>
              </w:rPr>
            </w:pPr>
            <w:r w:rsidRPr="00EC1119">
              <w:rPr>
                <w:lang w:val="es-CO" w:eastAsia="es-MX"/>
              </w:rPr>
              <w:t>60.0</w:t>
            </w:r>
          </w:p>
        </w:tc>
        <w:tc>
          <w:tcPr>
            <w:tcW w:w="572" w:type="pct"/>
            <w:tcBorders>
              <w:top w:val="nil"/>
              <w:left w:val="nil"/>
              <w:bottom w:val="nil"/>
              <w:right w:val="nil"/>
            </w:tcBorders>
            <w:shd w:val="clear" w:color="auto" w:fill="auto"/>
            <w:noWrap/>
            <w:vAlign w:val="bottom"/>
            <w:hideMark/>
          </w:tcPr>
          <w:p w14:paraId="2C1FF2DB"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60B4934C" w14:textId="77777777" w:rsidR="0023141A" w:rsidRPr="00EC1119" w:rsidRDefault="0023141A" w:rsidP="00F53AB3">
            <w:pPr>
              <w:jc w:val="center"/>
              <w:rPr>
                <w:lang w:val="es-CO" w:eastAsia="es-MX"/>
              </w:rPr>
            </w:pPr>
            <w:r w:rsidRPr="00EC1119">
              <w:rPr>
                <w:lang w:val="es-CO" w:eastAsia="es-MX"/>
              </w:rPr>
              <w:t>118.0</w:t>
            </w:r>
          </w:p>
        </w:tc>
        <w:tc>
          <w:tcPr>
            <w:tcW w:w="573" w:type="pct"/>
            <w:tcBorders>
              <w:top w:val="nil"/>
              <w:left w:val="nil"/>
              <w:bottom w:val="nil"/>
              <w:right w:val="nil"/>
            </w:tcBorders>
            <w:shd w:val="clear" w:color="auto" w:fill="auto"/>
            <w:noWrap/>
            <w:vAlign w:val="bottom"/>
            <w:hideMark/>
          </w:tcPr>
          <w:p w14:paraId="0A83BF5A" w14:textId="77777777" w:rsidR="0023141A" w:rsidRPr="00EC1119" w:rsidRDefault="0023141A" w:rsidP="00F53AB3">
            <w:pPr>
              <w:jc w:val="center"/>
              <w:rPr>
                <w:lang w:val="es-CO" w:eastAsia="es-MX"/>
              </w:rPr>
            </w:pPr>
            <w:r w:rsidRPr="00EC1119">
              <w:rPr>
                <w:lang w:val="es-CO" w:eastAsia="es-MX"/>
              </w:rPr>
              <w:t>18.6</w:t>
            </w:r>
          </w:p>
        </w:tc>
        <w:tc>
          <w:tcPr>
            <w:tcW w:w="781" w:type="pct"/>
            <w:tcBorders>
              <w:top w:val="nil"/>
              <w:left w:val="nil"/>
              <w:bottom w:val="nil"/>
              <w:right w:val="nil"/>
            </w:tcBorders>
            <w:shd w:val="clear" w:color="auto" w:fill="auto"/>
            <w:noWrap/>
            <w:vAlign w:val="bottom"/>
            <w:hideMark/>
          </w:tcPr>
          <w:p w14:paraId="7B509305" w14:textId="77777777" w:rsidR="0023141A" w:rsidRPr="00EC1119" w:rsidRDefault="0023141A" w:rsidP="00F53AB3">
            <w:pPr>
              <w:jc w:val="center"/>
              <w:rPr>
                <w:lang w:val="es-CO" w:eastAsia="es-MX"/>
              </w:rPr>
            </w:pPr>
            <w:r w:rsidRPr="00EC1119">
              <w:rPr>
                <w:lang w:val="es-CO" w:eastAsia="es-MX"/>
              </w:rPr>
              <w:t>30.0</w:t>
            </w:r>
          </w:p>
        </w:tc>
      </w:tr>
      <w:tr w:rsidR="0023141A" w:rsidRPr="00EC1119" w14:paraId="04D13E07"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7206C2A3" w14:textId="77777777" w:rsidR="0023141A" w:rsidRPr="00EC1119" w:rsidRDefault="0023141A" w:rsidP="00F53AB3">
            <w:pPr>
              <w:ind w:firstLineChars="100" w:firstLine="200"/>
              <w:rPr>
                <w:lang w:val="es-CO" w:eastAsia="es-MX"/>
              </w:rPr>
            </w:pPr>
            <w:proofErr w:type="spellStart"/>
            <w:r w:rsidRPr="00EC1119">
              <w:rPr>
                <w:lang w:val="es-CO" w:eastAsia="es-MX"/>
              </w:rPr>
              <w:t>San_Borja</w:t>
            </w:r>
            <w:proofErr w:type="spellEnd"/>
          </w:p>
        </w:tc>
        <w:tc>
          <w:tcPr>
            <w:tcW w:w="598" w:type="pct"/>
            <w:tcBorders>
              <w:top w:val="nil"/>
              <w:left w:val="nil"/>
              <w:bottom w:val="nil"/>
              <w:right w:val="nil"/>
            </w:tcBorders>
            <w:shd w:val="clear" w:color="auto" w:fill="auto"/>
            <w:noWrap/>
            <w:vAlign w:val="bottom"/>
            <w:hideMark/>
          </w:tcPr>
          <w:p w14:paraId="0865DB0F" w14:textId="77777777" w:rsidR="0023141A" w:rsidRPr="00EC1119" w:rsidRDefault="0023141A" w:rsidP="00F53AB3">
            <w:pPr>
              <w:jc w:val="center"/>
              <w:rPr>
                <w:lang w:val="es-CO" w:eastAsia="es-MX"/>
              </w:rPr>
            </w:pPr>
            <w:r w:rsidRPr="00EC1119">
              <w:rPr>
                <w:lang w:val="es-CO" w:eastAsia="es-MX"/>
              </w:rPr>
              <w:t>64.5</w:t>
            </w:r>
          </w:p>
        </w:tc>
        <w:tc>
          <w:tcPr>
            <w:tcW w:w="550" w:type="pct"/>
            <w:tcBorders>
              <w:top w:val="nil"/>
              <w:left w:val="nil"/>
              <w:bottom w:val="nil"/>
              <w:right w:val="nil"/>
            </w:tcBorders>
            <w:shd w:val="clear" w:color="auto" w:fill="auto"/>
            <w:noWrap/>
            <w:vAlign w:val="bottom"/>
            <w:hideMark/>
          </w:tcPr>
          <w:p w14:paraId="46917B08" w14:textId="77777777" w:rsidR="0023141A" w:rsidRPr="00EC1119" w:rsidRDefault="0023141A" w:rsidP="00F53AB3">
            <w:pPr>
              <w:jc w:val="center"/>
              <w:rPr>
                <w:lang w:val="es-CO" w:eastAsia="es-MX"/>
              </w:rPr>
            </w:pPr>
            <w:r w:rsidRPr="00EC1119">
              <w:rPr>
                <w:lang w:val="es-CO" w:eastAsia="es-MX"/>
              </w:rPr>
              <w:t>62.0</w:t>
            </w:r>
          </w:p>
        </w:tc>
        <w:tc>
          <w:tcPr>
            <w:tcW w:w="572" w:type="pct"/>
            <w:tcBorders>
              <w:top w:val="nil"/>
              <w:left w:val="nil"/>
              <w:bottom w:val="nil"/>
              <w:right w:val="nil"/>
            </w:tcBorders>
            <w:shd w:val="clear" w:color="auto" w:fill="auto"/>
            <w:noWrap/>
            <w:vAlign w:val="bottom"/>
            <w:hideMark/>
          </w:tcPr>
          <w:p w14:paraId="5629BEAB" w14:textId="77777777" w:rsidR="0023141A" w:rsidRPr="00EC1119" w:rsidRDefault="0023141A" w:rsidP="00F53AB3">
            <w:pPr>
              <w:jc w:val="center"/>
              <w:rPr>
                <w:lang w:val="es-CO" w:eastAsia="es-MX"/>
              </w:rPr>
            </w:pPr>
            <w:r w:rsidRPr="00EC1119">
              <w:rPr>
                <w:lang w:val="es-CO" w:eastAsia="es-MX"/>
              </w:rPr>
              <w:t>13.0</w:t>
            </w:r>
          </w:p>
        </w:tc>
        <w:tc>
          <w:tcPr>
            <w:tcW w:w="574" w:type="pct"/>
            <w:tcBorders>
              <w:top w:val="nil"/>
              <w:left w:val="nil"/>
              <w:bottom w:val="nil"/>
              <w:right w:val="nil"/>
            </w:tcBorders>
            <w:shd w:val="clear" w:color="auto" w:fill="auto"/>
            <w:noWrap/>
            <w:vAlign w:val="bottom"/>
            <w:hideMark/>
          </w:tcPr>
          <w:p w14:paraId="1A847B04" w14:textId="77777777" w:rsidR="0023141A" w:rsidRPr="00EC1119" w:rsidRDefault="0023141A" w:rsidP="00F53AB3">
            <w:pPr>
              <w:jc w:val="center"/>
              <w:rPr>
                <w:lang w:val="es-CO" w:eastAsia="es-MX"/>
              </w:rPr>
            </w:pPr>
            <w:r w:rsidRPr="00EC1119">
              <w:rPr>
                <w:lang w:val="es-CO" w:eastAsia="es-MX"/>
              </w:rPr>
              <w:t>110.0</w:t>
            </w:r>
          </w:p>
        </w:tc>
        <w:tc>
          <w:tcPr>
            <w:tcW w:w="573" w:type="pct"/>
            <w:tcBorders>
              <w:top w:val="nil"/>
              <w:left w:val="nil"/>
              <w:bottom w:val="nil"/>
              <w:right w:val="nil"/>
            </w:tcBorders>
            <w:shd w:val="clear" w:color="auto" w:fill="auto"/>
            <w:noWrap/>
            <w:vAlign w:val="bottom"/>
            <w:hideMark/>
          </w:tcPr>
          <w:p w14:paraId="67701A93" w14:textId="77777777" w:rsidR="0023141A" w:rsidRPr="00EC1119" w:rsidRDefault="0023141A" w:rsidP="00F53AB3">
            <w:pPr>
              <w:jc w:val="center"/>
              <w:rPr>
                <w:lang w:val="es-CO" w:eastAsia="es-MX"/>
              </w:rPr>
            </w:pPr>
            <w:r w:rsidRPr="00EC1119">
              <w:rPr>
                <w:lang w:val="es-CO" w:eastAsia="es-MX"/>
              </w:rPr>
              <w:t>11.8</w:t>
            </w:r>
          </w:p>
        </w:tc>
        <w:tc>
          <w:tcPr>
            <w:tcW w:w="781" w:type="pct"/>
            <w:tcBorders>
              <w:top w:val="nil"/>
              <w:left w:val="nil"/>
              <w:bottom w:val="nil"/>
              <w:right w:val="nil"/>
            </w:tcBorders>
            <w:shd w:val="clear" w:color="auto" w:fill="auto"/>
            <w:noWrap/>
            <w:vAlign w:val="bottom"/>
            <w:hideMark/>
          </w:tcPr>
          <w:p w14:paraId="52B8563D" w14:textId="77777777" w:rsidR="0023141A" w:rsidRPr="00EC1119" w:rsidRDefault="0023141A" w:rsidP="00F53AB3">
            <w:pPr>
              <w:jc w:val="center"/>
              <w:rPr>
                <w:lang w:val="es-CO" w:eastAsia="es-MX"/>
              </w:rPr>
            </w:pPr>
            <w:r w:rsidRPr="00EC1119">
              <w:rPr>
                <w:lang w:val="es-CO" w:eastAsia="es-MX"/>
              </w:rPr>
              <w:t>18.0</w:t>
            </w:r>
          </w:p>
        </w:tc>
      </w:tr>
      <w:tr w:rsidR="0023141A" w:rsidRPr="00EC1119" w14:paraId="513B681E"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6A453A2E" w14:textId="77777777" w:rsidR="0023141A" w:rsidRPr="00EC1119" w:rsidRDefault="0023141A" w:rsidP="00F53AB3">
            <w:pPr>
              <w:ind w:firstLineChars="100" w:firstLine="200"/>
              <w:rPr>
                <w:lang w:val="es-CO" w:eastAsia="es-MX"/>
              </w:rPr>
            </w:pPr>
            <w:proofErr w:type="spellStart"/>
            <w:r w:rsidRPr="00EC1119">
              <w:rPr>
                <w:lang w:val="es-CO" w:eastAsia="es-MX"/>
              </w:rPr>
              <w:t>San_Juan_Lurigancho</w:t>
            </w:r>
            <w:proofErr w:type="spellEnd"/>
          </w:p>
        </w:tc>
        <w:tc>
          <w:tcPr>
            <w:tcW w:w="598" w:type="pct"/>
            <w:tcBorders>
              <w:top w:val="nil"/>
              <w:left w:val="nil"/>
              <w:bottom w:val="nil"/>
              <w:right w:val="nil"/>
            </w:tcBorders>
            <w:shd w:val="clear" w:color="auto" w:fill="auto"/>
            <w:noWrap/>
            <w:vAlign w:val="bottom"/>
            <w:hideMark/>
          </w:tcPr>
          <w:p w14:paraId="7CD5D3EB" w14:textId="77777777" w:rsidR="0023141A" w:rsidRPr="00EC1119" w:rsidRDefault="0023141A" w:rsidP="00F53AB3">
            <w:pPr>
              <w:jc w:val="center"/>
              <w:rPr>
                <w:lang w:val="es-CO" w:eastAsia="es-MX"/>
              </w:rPr>
            </w:pPr>
            <w:r w:rsidRPr="00EC1119">
              <w:rPr>
                <w:lang w:val="es-CO" w:eastAsia="es-MX"/>
              </w:rPr>
              <w:t>79.4</w:t>
            </w:r>
          </w:p>
        </w:tc>
        <w:tc>
          <w:tcPr>
            <w:tcW w:w="550" w:type="pct"/>
            <w:tcBorders>
              <w:top w:val="nil"/>
              <w:left w:val="nil"/>
              <w:bottom w:val="nil"/>
              <w:right w:val="nil"/>
            </w:tcBorders>
            <w:shd w:val="clear" w:color="auto" w:fill="auto"/>
            <w:noWrap/>
            <w:vAlign w:val="bottom"/>
            <w:hideMark/>
          </w:tcPr>
          <w:p w14:paraId="322FDD13" w14:textId="77777777" w:rsidR="0023141A" w:rsidRPr="00EC1119" w:rsidRDefault="0023141A" w:rsidP="00F53AB3">
            <w:pPr>
              <w:jc w:val="center"/>
              <w:rPr>
                <w:lang w:val="es-CO" w:eastAsia="es-MX"/>
              </w:rPr>
            </w:pPr>
            <w:r w:rsidRPr="00EC1119">
              <w:rPr>
                <w:lang w:val="es-CO" w:eastAsia="es-MX"/>
              </w:rPr>
              <w:t>79.0</w:t>
            </w:r>
          </w:p>
        </w:tc>
        <w:tc>
          <w:tcPr>
            <w:tcW w:w="572" w:type="pct"/>
            <w:tcBorders>
              <w:top w:val="nil"/>
              <w:left w:val="nil"/>
              <w:bottom w:val="nil"/>
              <w:right w:val="nil"/>
            </w:tcBorders>
            <w:shd w:val="clear" w:color="auto" w:fill="auto"/>
            <w:noWrap/>
            <w:vAlign w:val="bottom"/>
            <w:hideMark/>
          </w:tcPr>
          <w:p w14:paraId="714101BC" w14:textId="77777777" w:rsidR="0023141A" w:rsidRPr="00EC1119" w:rsidRDefault="0023141A" w:rsidP="00F53AB3">
            <w:pPr>
              <w:jc w:val="center"/>
              <w:rPr>
                <w:lang w:val="es-CO" w:eastAsia="es-MX"/>
              </w:rPr>
            </w:pPr>
            <w:r w:rsidRPr="00EC1119">
              <w:rPr>
                <w:lang w:val="es-CO" w:eastAsia="es-MX"/>
              </w:rPr>
              <w:t>6.0</w:t>
            </w:r>
          </w:p>
        </w:tc>
        <w:tc>
          <w:tcPr>
            <w:tcW w:w="574" w:type="pct"/>
            <w:tcBorders>
              <w:top w:val="nil"/>
              <w:left w:val="nil"/>
              <w:bottom w:val="nil"/>
              <w:right w:val="nil"/>
            </w:tcBorders>
            <w:shd w:val="clear" w:color="auto" w:fill="auto"/>
            <w:noWrap/>
            <w:vAlign w:val="bottom"/>
            <w:hideMark/>
          </w:tcPr>
          <w:p w14:paraId="65EC6F59" w14:textId="77777777" w:rsidR="0023141A" w:rsidRPr="00EC1119" w:rsidRDefault="0023141A" w:rsidP="00F53AB3">
            <w:pPr>
              <w:jc w:val="center"/>
              <w:rPr>
                <w:lang w:val="es-CO" w:eastAsia="es-MX"/>
              </w:rPr>
            </w:pPr>
            <w:r w:rsidRPr="00EC1119">
              <w:rPr>
                <w:lang w:val="es-CO" w:eastAsia="es-MX"/>
              </w:rPr>
              <w:t>126.0</w:t>
            </w:r>
          </w:p>
        </w:tc>
        <w:tc>
          <w:tcPr>
            <w:tcW w:w="573" w:type="pct"/>
            <w:tcBorders>
              <w:top w:val="nil"/>
              <w:left w:val="nil"/>
              <w:bottom w:val="nil"/>
              <w:right w:val="nil"/>
            </w:tcBorders>
            <w:shd w:val="clear" w:color="auto" w:fill="auto"/>
            <w:noWrap/>
            <w:vAlign w:val="bottom"/>
            <w:hideMark/>
          </w:tcPr>
          <w:p w14:paraId="3A789275" w14:textId="77777777" w:rsidR="0023141A" w:rsidRPr="00EC1119" w:rsidRDefault="0023141A" w:rsidP="00F53AB3">
            <w:pPr>
              <w:jc w:val="center"/>
              <w:rPr>
                <w:lang w:val="es-CO" w:eastAsia="es-MX"/>
              </w:rPr>
            </w:pPr>
            <w:r w:rsidRPr="00EC1119">
              <w:rPr>
                <w:lang w:val="es-CO" w:eastAsia="es-MX"/>
              </w:rPr>
              <w:t>19.0</w:t>
            </w:r>
          </w:p>
        </w:tc>
        <w:tc>
          <w:tcPr>
            <w:tcW w:w="781" w:type="pct"/>
            <w:tcBorders>
              <w:top w:val="nil"/>
              <w:left w:val="nil"/>
              <w:bottom w:val="nil"/>
              <w:right w:val="nil"/>
            </w:tcBorders>
            <w:shd w:val="clear" w:color="auto" w:fill="auto"/>
            <w:noWrap/>
            <w:vAlign w:val="bottom"/>
            <w:hideMark/>
          </w:tcPr>
          <w:p w14:paraId="3E976646" w14:textId="77777777" w:rsidR="0023141A" w:rsidRPr="00EC1119" w:rsidRDefault="0023141A" w:rsidP="00F53AB3">
            <w:pPr>
              <w:jc w:val="center"/>
              <w:rPr>
                <w:lang w:val="es-CO" w:eastAsia="es-MX"/>
              </w:rPr>
            </w:pPr>
            <w:r w:rsidRPr="00EC1119">
              <w:rPr>
                <w:lang w:val="es-CO" w:eastAsia="es-MX"/>
              </w:rPr>
              <w:t>24.0</w:t>
            </w:r>
          </w:p>
        </w:tc>
      </w:tr>
      <w:tr w:rsidR="0023141A" w:rsidRPr="00EC1119" w14:paraId="18050C0C"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6F1614D2" w14:textId="77777777" w:rsidR="0023141A" w:rsidRPr="00EC1119" w:rsidRDefault="0023141A" w:rsidP="00F53AB3">
            <w:pPr>
              <w:ind w:firstLineChars="100" w:firstLine="200"/>
              <w:rPr>
                <w:lang w:val="es-CO" w:eastAsia="es-MX"/>
              </w:rPr>
            </w:pPr>
            <w:proofErr w:type="spellStart"/>
            <w:r w:rsidRPr="00EC1119">
              <w:rPr>
                <w:lang w:val="es-CO" w:eastAsia="es-MX"/>
              </w:rPr>
              <w:t>San_Martin_de_Porras</w:t>
            </w:r>
            <w:proofErr w:type="spellEnd"/>
          </w:p>
        </w:tc>
        <w:tc>
          <w:tcPr>
            <w:tcW w:w="598" w:type="pct"/>
            <w:tcBorders>
              <w:top w:val="nil"/>
              <w:left w:val="nil"/>
              <w:bottom w:val="nil"/>
              <w:right w:val="nil"/>
            </w:tcBorders>
            <w:shd w:val="clear" w:color="auto" w:fill="auto"/>
            <w:noWrap/>
            <w:vAlign w:val="bottom"/>
            <w:hideMark/>
          </w:tcPr>
          <w:p w14:paraId="3D29B8E5" w14:textId="77777777" w:rsidR="0023141A" w:rsidRPr="00EC1119" w:rsidRDefault="0023141A" w:rsidP="00F53AB3">
            <w:pPr>
              <w:jc w:val="center"/>
              <w:rPr>
                <w:lang w:val="es-CO" w:eastAsia="es-MX"/>
              </w:rPr>
            </w:pPr>
            <w:r w:rsidRPr="00EC1119">
              <w:rPr>
                <w:lang w:val="es-CO" w:eastAsia="es-MX"/>
              </w:rPr>
              <w:t>64.1</w:t>
            </w:r>
          </w:p>
        </w:tc>
        <w:tc>
          <w:tcPr>
            <w:tcW w:w="550" w:type="pct"/>
            <w:tcBorders>
              <w:top w:val="nil"/>
              <w:left w:val="nil"/>
              <w:bottom w:val="nil"/>
              <w:right w:val="nil"/>
            </w:tcBorders>
            <w:shd w:val="clear" w:color="auto" w:fill="auto"/>
            <w:noWrap/>
            <w:vAlign w:val="bottom"/>
            <w:hideMark/>
          </w:tcPr>
          <w:p w14:paraId="04A705BB" w14:textId="77777777" w:rsidR="0023141A" w:rsidRPr="00EC1119" w:rsidRDefault="0023141A" w:rsidP="00F53AB3">
            <w:pPr>
              <w:jc w:val="center"/>
              <w:rPr>
                <w:lang w:val="es-CO" w:eastAsia="es-MX"/>
              </w:rPr>
            </w:pPr>
            <w:r w:rsidRPr="00EC1119">
              <w:rPr>
                <w:lang w:val="es-CO" w:eastAsia="es-MX"/>
              </w:rPr>
              <w:t>62.0</w:t>
            </w:r>
          </w:p>
        </w:tc>
        <w:tc>
          <w:tcPr>
            <w:tcW w:w="572" w:type="pct"/>
            <w:tcBorders>
              <w:top w:val="nil"/>
              <w:left w:val="nil"/>
              <w:bottom w:val="nil"/>
              <w:right w:val="nil"/>
            </w:tcBorders>
            <w:shd w:val="clear" w:color="auto" w:fill="auto"/>
            <w:noWrap/>
            <w:vAlign w:val="bottom"/>
            <w:hideMark/>
          </w:tcPr>
          <w:p w14:paraId="169396ED"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3711BA38" w14:textId="77777777" w:rsidR="0023141A" w:rsidRPr="00EC1119" w:rsidRDefault="0023141A" w:rsidP="00F53AB3">
            <w:pPr>
              <w:jc w:val="center"/>
              <w:rPr>
                <w:lang w:val="es-CO" w:eastAsia="es-MX"/>
              </w:rPr>
            </w:pPr>
            <w:r w:rsidRPr="00EC1119">
              <w:rPr>
                <w:lang w:val="es-CO" w:eastAsia="es-MX"/>
              </w:rPr>
              <w:t>130.0</w:t>
            </w:r>
          </w:p>
        </w:tc>
        <w:tc>
          <w:tcPr>
            <w:tcW w:w="573" w:type="pct"/>
            <w:tcBorders>
              <w:top w:val="nil"/>
              <w:left w:val="nil"/>
              <w:bottom w:val="nil"/>
              <w:right w:val="nil"/>
            </w:tcBorders>
            <w:shd w:val="clear" w:color="auto" w:fill="auto"/>
            <w:noWrap/>
            <w:vAlign w:val="bottom"/>
            <w:hideMark/>
          </w:tcPr>
          <w:p w14:paraId="3E21D20E" w14:textId="77777777" w:rsidR="0023141A" w:rsidRPr="00EC1119" w:rsidRDefault="0023141A" w:rsidP="00F53AB3">
            <w:pPr>
              <w:jc w:val="center"/>
              <w:rPr>
                <w:lang w:val="es-CO" w:eastAsia="es-MX"/>
              </w:rPr>
            </w:pPr>
            <w:r w:rsidRPr="00EC1119">
              <w:rPr>
                <w:lang w:val="es-CO" w:eastAsia="es-MX"/>
              </w:rPr>
              <w:t>19.5</w:t>
            </w:r>
          </w:p>
        </w:tc>
        <w:tc>
          <w:tcPr>
            <w:tcW w:w="781" w:type="pct"/>
            <w:tcBorders>
              <w:top w:val="nil"/>
              <w:left w:val="nil"/>
              <w:bottom w:val="nil"/>
              <w:right w:val="nil"/>
            </w:tcBorders>
            <w:shd w:val="clear" w:color="auto" w:fill="auto"/>
            <w:noWrap/>
            <w:vAlign w:val="bottom"/>
            <w:hideMark/>
          </w:tcPr>
          <w:p w14:paraId="32844984" w14:textId="77777777" w:rsidR="0023141A" w:rsidRPr="00EC1119" w:rsidRDefault="0023141A" w:rsidP="00F53AB3">
            <w:pPr>
              <w:jc w:val="center"/>
              <w:rPr>
                <w:lang w:val="es-CO" w:eastAsia="es-MX"/>
              </w:rPr>
            </w:pPr>
            <w:r w:rsidRPr="00EC1119">
              <w:rPr>
                <w:lang w:val="es-CO" w:eastAsia="es-MX"/>
              </w:rPr>
              <w:t>30.0</w:t>
            </w:r>
          </w:p>
        </w:tc>
      </w:tr>
      <w:tr w:rsidR="0023141A" w:rsidRPr="00EC1119" w14:paraId="7A09FC57"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14ABD997" w14:textId="77777777" w:rsidR="0023141A" w:rsidRPr="00EC1119" w:rsidRDefault="0023141A" w:rsidP="00F53AB3">
            <w:pPr>
              <w:ind w:firstLineChars="100" w:firstLine="200"/>
              <w:rPr>
                <w:lang w:val="es-CO" w:eastAsia="es-MX"/>
              </w:rPr>
            </w:pPr>
            <w:proofErr w:type="spellStart"/>
            <w:r w:rsidRPr="00EC1119">
              <w:rPr>
                <w:lang w:val="es-CO" w:eastAsia="es-MX"/>
              </w:rPr>
              <w:t>Santa_Anita</w:t>
            </w:r>
            <w:proofErr w:type="spellEnd"/>
          </w:p>
        </w:tc>
        <w:tc>
          <w:tcPr>
            <w:tcW w:w="598" w:type="pct"/>
            <w:tcBorders>
              <w:top w:val="nil"/>
              <w:left w:val="nil"/>
              <w:bottom w:val="nil"/>
              <w:right w:val="nil"/>
            </w:tcBorders>
            <w:shd w:val="clear" w:color="auto" w:fill="auto"/>
            <w:noWrap/>
            <w:vAlign w:val="bottom"/>
            <w:hideMark/>
          </w:tcPr>
          <w:p w14:paraId="1FC7364C" w14:textId="77777777" w:rsidR="0023141A" w:rsidRPr="00EC1119" w:rsidRDefault="0023141A" w:rsidP="00F53AB3">
            <w:pPr>
              <w:jc w:val="center"/>
              <w:rPr>
                <w:lang w:val="es-CO" w:eastAsia="es-MX"/>
              </w:rPr>
            </w:pPr>
            <w:r w:rsidRPr="00EC1119">
              <w:rPr>
                <w:lang w:val="es-CO" w:eastAsia="es-MX"/>
              </w:rPr>
              <w:t>71.4</w:t>
            </w:r>
          </w:p>
        </w:tc>
        <w:tc>
          <w:tcPr>
            <w:tcW w:w="550" w:type="pct"/>
            <w:tcBorders>
              <w:top w:val="nil"/>
              <w:left w:val="nil"/>
              <w:bottom w:val="nil"/>
              <w:right w:val="nil"/>
            </w:tcBorders>
            <w:shd w:val="clear" w:color="auto" w:fill="auto"/>
            <w:noWrap/>
            <w:vAlign w:val="bottom"/>
            <w:hideMark/>
          </w:tcPr>
          <w:p w14:paraId="387ABD2E" w14:textId="77777777" w:rsidR="0023141A" w:rsidRPr="00EC1119" w:rsidRDefault="0023141A" w:rsidP="00F53AB3">
            <w:pPr>
              <w:jc w:val="center"/>
              <w:rPr>
                <w:lang w:val="es-CO" w:eastAsia="es-MX"/>
              </w:rPr>
            </w:pPr>
            <w:r w:rsidRPr="00EC1119">
              <w:rPr>
                <w:lang w:val="es-CO" w:eastAsia="es-MX"/>
              </w:rPr>
              <w:t>70.0</w:t>
            </w:r>
          </w:p>
        </w:tc>
        <w:tc>
          <w:tcPr>
            <w:tcW w:w="572" w:type="pct"/>
            <w:tcBorders>
              <w:top w:val="nil"/>
              <w:left w:val="nil"/>
              <w:bottom w:val="nil"/>
              <w:right w:val="nil"/>
            </w:tcBorders>
            <w:shd w:val="clear" w:color="auto" w:fill="auto"/>
            <w:noWrap/>
            <w:vAlign w:val="bottom"/>
            <w:hideMark/>
          </w:tcPr>
          <w:p w14:paraId="57B850B2"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54FCA557" w14:textId="77777777" w:rsidR="0023141A" w:rsidRPr="00EC1119" w:rsidRDefault="0023141A" w:rsidP="00F53AB3">
            <w:pPr>
              <w:jc w:val="center"/>
              <w:rPr>
                <w:lang w:val="es-CO" w:eastAsia="es-MX"/>
              </w:rPr>
            </w:pPr>
            <w:r w:rsidRPr="00EC1119">
              <w:rPr>
                <w:lang w:val="es-CO" w:eastAsia="es-MX"/>
              </w:rPr>
              <w:t>119.0</w:t>
            </w:r>
          </w:p>
        </w:tc>
        <w:tc>
          <w:tcPr>
            <w:tcW w:w="573" w:type="pct"/>
            <w:tcBorders>
              <w:top w:val="nil"/>
              <w:left w:val="nil"/>
              <w:bottom w:val="nil"/>
              <w:right w:val="nil"/>
            </w:tcBorders>
            <w:shd w:val="clear" w:color="auto" w:fill="auto"/>
            <w:noWrap/>
            <w:vAlign w:val="bottom"/>
            <w:hideMark/>
          </w:tcPr>
          <w:p w14:paraId="7B5FCAED" w14:textId="77777777" w:rsidR="0023141A" w:rsidRPr="00EC1119" w:rsidRDefault="0023141A" w:rsidP="00F53AB3">
            <w:pPr>
              <w:jc w:val="center"/>
              <w:rPr>
                <w:lang w:val="es-CO" w:eastAsia="es-MX"/>
              </w:rPr>
            </w:pPr>
            <w:r w:rsidRPr="00EC1119">
              <w:rPr>
                <w:lang w:val="es-CO" w:eastAsia="es-MX"/>
              </w:rPr>
              <w:t>15.9</w:t>
            </w:r>
          </w:p>
        </w:tc>
        <w:tc>
          <w:tcPr>
            <w:tcW w:w="781" w:type="pct"/>
            <w:tcBorders>
              <w:top w:val="nil"/>
              <w:left w:val="nil"/>
              <w:bottom w:val="nil"/>
              <w:right w:val="nil"/>
            </w:tcBorders>
            <w:shd w:val="clear" w:color="auto" w:fill="auto"/>
            <w:noWrap/>
            <w:vAlign w:val="bottom"/>
            <w:hideMark/>
          </w:tcPr>
          <w:p w14:paraId="24F8DB83" w14:textId="77777777" w:rsidR="0023141A" w:rsidRPr="00EC1119" w:rsidRDefault="0023141A" w:rsidP="00F53AB3">
            <w:pPr>
              <w:jc w:val="center"/>
              <w:rPr>
                <w:lang w:val="es-CO" w:eastAsia="es-MX"/>
              </w:rPr>
            </w:pPr>
            <w:r w:rsidRPr="00EC1119">
              <w:rPr>
                <w:lang w:val="es-CO" w:eastAsia="es-MX"/>
              </w:rPr>
              <w:t>22.0</w:t>
            </w:r>
          </w:p>
        </w:tc>
      </w:tr>
      <w:tr w:rsidR="0023141A" w:rsidRPr="00EC1119" w14:paraId="73BD24E6"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6C2287F2" w14:textId="77777777" w:rsidR="0023141A" w:rsidRPr="00EC1119" w:rsidRDefault="0023141A" w:rsidP="00F53AB3">
            <w:pPr>
              <w:ind w:firstLineChars="100" w:firstLine="200"/>
              <w:rPr>
                <w:lang w:val="es-CO" w:eastAsia="es-MX"/>
              </w:rPr>
            </w:pPr>
            <w:proofErr w:type="spellStart"/>
            <w:r w:rsidRPr="00EC1119">
              <w:rPr>
                <w:lang w:val="es-CO" w:eastAsia="es-MX"/>
              </w:rPr>
              <w:t>Villa_Maria_Triunfo</w:t>
            </w:r>
            <w:proofErr w:type="spellEnd"/>
          </w:p>
        </w:tc>
        <w:tc>
          <w:tcPr>
            <w:tcW w:w="598" w:type="pct"/>
            <w:tcBorders>
              <w:top w:val="nil"/>
              <w:left w:val="nil"/>
              <w:bottom w:val="nil"/>
              <w:right w:val="nil"/>
            </w:tcBorders>
            <w:shd w:val="clear" w:color="auto" w:fill="auto"/>
            <w:noWrap/>
            <w:vAlign w:val="bottom"/>
            <w:hideMark/>
          </w:tcPr>
          <w:p w14:paraId="03C62FF3" w14:textId="77777777" w:rsidR="0023141A" w:rsidRPr="00EC1119" w:rsidRDefault="0023141A" w:rsidP="00F53AB3">
            <w:pPr>
              <w:jc w:val="center"/>
              <w:rPr>
                <w:lang w:val="es-CO" w:eastAsia="es-MX"/>
              </w:rPr>
            </w:pPr>
            <w:r w:rsidRPr="00EC1119">
              <w:rPr>
                <w:lang w:val="es-CO" w:eastAsia="es-MX"/>
              </w:rPr>
              <w:t>71.8</w:t>
            </w:r>
          </w:p>
        </w:tc>
        <w:tc>
          <w:tcPr>
            <w:tcW w:w="550" w:type="pct"/>
            <w:tcBorders>
              <w:top w:val="nil"/>
              <w:left w:val="nil"/>
              <w:bottom w:val="nil"/>
              <w:right w:val="nil"/>
            </w:tcBorders>
            <w:shd w:val="clear" w:color="auto" w:fill="auto"/>
            <w:noWrap/>
            <w:vAlign w:val="bottom"/>
            <w:hideMark/>
          </w:tcPr>
          <w:p w14:paraId="652A3971" w14:textId="77777777" w:rsidR="0023141A" w:rsidRPr="00EC1119" w:rsidRDefault="0023141A" w:rsidP="00F53AB3">
            <w:pPr>
              <w:jc w:val="center"/>
              <w:rPr>
                <w:lang w:val="es-CO" w:eastAsia="es-MX"/>
              </w:rPr>
            </w:pPr>
            <w:r w:rsidRPr="00EC1119">
              <w:rPr>
                <w:lang w:val="es-CO" w:eastAsia="es-MX"/>
              </w:rPr>
              <w:t>70.0</w:t>
            </w:r>
          </w:p>
        </w:tc>
        <w:tc>
          <w:tcPr>
            <w:tcW w:w="572" w:type="pct"/>
            <w:tcBorders>
              <w:top w:val="nil"/>
              <w:left w:val="nil"/>
              <w:bottom w:val="nil"/>
              <w:right w:val="nil"/>
            </w:tcBorders>
            <w:shd w:val="clear" w:color="auto" w:fill="auto"/>
            <w:noWrap/>
            <w:vAlign w:val="bottom"/>
            <w:hideMark/>
          </w:tcPr>
          <w:p w14:paraId="1FEA9EC9" w14:textId="77777777" w:rsidR="0023141A" w:rsidRPr="00EC1119" w:rsidRDefault="0023141A" w:rsidP="00F53AB3">
            <w:pPr>
              <w:jc w:val="center"/>
              <w:rPr>
                <w:lang w:val="es-CO" w:eastAsia="es-MX"/>
              </w:rPr>
            </w:pPr>
            <w:r w:rsidRPr="00EC1119">
              <w:rPr>
                <w:lang w:val="es-CO" w:eastAsia="es-MX"/>
              </w:rPr>
              <w:t>33.0</w:t>
            </w:r>
          </w:p>
        </w:tc>
        <w:tc>
          <w:tcPr>
            <w:tcW w:w="574" w:type="pct"/>
            <w:tcBorders>
              <w:top w:val="nil"/>
              <w:left w:val="nil"/>
              <w:bottom w:val="nil"/>
              <w:right w:val="nil"/>
            </w:tcBorders>
            <w:shd w:val="clear" w:color="auto" w:fill="auto"/>
            <w:noWrap/>
            <w:vAlign w:val="bottom"/>
            <w:hideMark/>
          </w:tcPr>
          <w:p w14:paraId="06DA4CBB" w14:textId="77777777" w:rsidR="0023141A" w:rsidRPr="00EC1119" w:rsidRDefault="0023141A" w:rsidP="00F53AB3">
            <w:pPr>
              <w:jc w:val="center"/>
              <w:rPr>
                <w:lang w:val="es-CO" w:eastAsia="es-MX"/>
              </w:rPr>
            </w:pPr>
            <w:r w:rsidRPr="00EC1119">
              <w:rPr>
                <w:lang w:val="es-CO" w:eastAsia="es-MX"/>
              </w:rPr>
              <w:t>122.0</w:t>
            </w:r>
          </w:p>
        </w:tc>
        <w:tc>
          <w:tcPr>
            <w:tcW w:w="573" w:type="pct"/>
            <w:tcBorders>
              <w:top w:val="nil"/>
              <w:left w:val="nil"/>
              <w:bottom w:val="nil"/>
              <w:right w:val="nil"/>
            </w:tcBorders>
            <w:shd w:val="clear" w:color="auto" w:fill="auto"/>
            <w:noWrap/>
            <w:vAlign w:val="bottom"/>
            <w:hideMark/>
          </w:tcPr>
          <w:p w14:paraId="7FBE4EE3" w14:textId="77777777" w:rsidR="0023141A" w:rsidRPr="00EC1119" w:rsidRDefault="0023141A" w:rsidP="00F53AB3">
            <w:pPr>
              <w:jc w:val="center"/>
              <w:rPr>
                <w:lang w:val="es-CO" w:eastAsia="es-MX"/>
              </w:rPr>
            </w:pPr>
            <w:r w:rsidRPr="00EC1119">
              <w:rPr>
                <w:lang w:val="es-CO" w:eastAsia="es-MX"/>
              </w:rPr>
              <w:t>16.6</w:t>
            </w:r>
          </w:p>
        </w:tc>
        <w:tc>
          <w:tcPr>
            <w:tcW w:w="781" w:type="pct"/>
            <w:tcBorders>
              <w:top w:val="nil"/>
              <w:left w:val="nil"/>
              <w:bottom w:val="nil"/>
              <w:right w:val="nil"/>
            </w:tcBorders>
            <w:shd w:val="clear" w:color="auto" w:fill="auto"/>
            <w:noWrap/>
            <w:vAlign w:val="bottom"/>
            <w:hideMark/>
          </w:tcPr>
          <w:p w14:paraId="42E55A11" w14:textId="77777777" w:rsidR="0023141A" w:rsidRPr="00EC1119" w:rsidRDefault="0023141A" w:rsidP="00F53AB3">
            <w:pPr>
              <w:jc w:val="center"/>
              <w:rPr>
                <w:lang w:val="es-CO" w:eastAsia="es-MX"/>
              </w:rPr>
            </w:pPr>
            <w:r w:rsidRPr="00EC1119">
              <w:rPr>
                <w:lang w:val="es-CO" w:eastAsia="es-MX"/>
              </w:rPr>
              <w:t>23.0</w:t>
            </w:r>
          </w:p>
        </w:tc>
      </w:tr>
      <w:tr w:rsidR="0023141A" w:rsidRPr="00EC1119" w14:paraId="6E322479"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3A3D8CE2" w14:textId="77777777" w:rsidR="0023141A" w:rsidRPr="00EC1119" w:rsidRDefault="0023141A" w:rsidP="00F53AB3">
            <w:pPr>
              <w:jc w:val="center"/>
              <w:rPr>
                <w:lang w:val="es-CO" w:eastAsia="es-MX"/>
              </w:rPr>
            </w:pPr>
          </w:p>
        </w:tc>
        <w:tc>
          <w:tcPr>
            <w:tcW w:w="598" w:type="pct"/>
            <w:tcBorders>
              <w:top w:val="nil"/>
              <w:left w:val="nil"/>
              <w:bottom w:val="nil"/>
              <w:right w:val="nil"/>
            </w:tcBorders>
            <w:shd w:val="clear" w:color="auto" w:fill="auto"/>
            <w:noWrap/>
            <w:vAlign w:val="bottom"/>
            <w:hideMark/>
          </w:tcPr>
          <w:p w14:paraId="6652815B" w14:textId="77777777" w:rsidR="0023141A" w:rsidRPr="00EC1119" w:rsidRDefault="0023141A" w:rsidP="00F53AB3">
            <w:pPr>
              <w:rPr>
                <w:lang w:val="es-CO" w:eastAsia="es-MX"/>
              </w:rPr>
            </w:pPr>
          </w:p>
        </w:tc>
        <w:tc>
          <w:tcPr>
            <w:tcW w:w="550" w:type="pct"/>
            <w:tcBorders>
              <w:top w:val="nil"/>
              <w:left w:val="nil"/>
              <w:bottom w:val="nil"/>
              <w:right w:val="nil"/>
            </w:tcBorders>
            <w:shd w:val="clear" w:color="auto" w:fill="auto"/>
            <w:noWrap/>
            <w:vAlign w:val="bottom"/>
            <w:hideMark/>
          </w:tcPr>
          <w:p w14:paraId="0639764D" w14:textId="77777777" w:rsidR="0023141A" w:rsidRPr="00EC1119" w:rsidRDefault="0023141A" w:rsidP="00F53AB3">
            <w:pPr>
              <w:rPr>
                <w:lang w:val="es-CO" w:eastAsia="es-MX"/>
              </w:rPr>
            </w:pPr>
          </w:p>
        </w:tc>
        <w:tc>
          <w:tcPr>
            <w:tcW w:w="572" w:type="pct"/>
            <w:tcBorders>
              <w:top w:val="nil"/>
              <w:left w:val="nil"/>
              <w:bottom w:val="nil"/>
              <w:right w:val="nil"/>
            </w:tcBorders>
            <w:shd w:val="clear" w:color="auto" w:fill="auto"/>
            <w:noWrap/>
            <w:vAlign w:val="bottom"/>
            <w:hideMark/>
          </w:tcPr>
          <w:p w14:paraId="657C0D36" w14:textId="77777777" w:rsidR="0023141A" w:rsidRPr="00EC1119" w:rsidRDefault="0023141A" w:rsidP="00F53AB3">
            <w:pPr>
              <w:rPr>
                <w:lang w:val="es-CO" w:eastAsia="es-MX"/>
              </w:rPr>
            </w:pPr>
          </w:p>
        </w:tc>
        <w:tc>
          <w:tcPr>
            <w:tcW w:w="574" w:type="pct"/>
            <w:tcBorders>
              <w:top w:val="nil"/>
              <w:left w:val="nil"/>
              <w:bottom w:val="nil"/>
              <w:right w:val="nil"/>
            </w:tcBorders>
            <w:shd w:val="clear" w:color="auto" w:fill="auto"/>
            <w:noWrap/>
            <w:vAlign w:val="bottom"/>
            <w:hideMark/>
          </w:tcPr>
          <w:p w14:paraId="6313B505" w14:textId="77777777" w:rsidR="0023141A" w:rsidRPr="00EC1119" w:rsidRDefault="0023141A" w:rsidP="00F53AB3">
            <w:pPr>
              <w:rPr>
                <w:lang w:val="es-CO" w:eastAsia="es-MX"/>
              </w:rPr>
            </w:pPr>
          </w:p>
        </w:tc>
        <w:tc>
          <w:tcPr>
            <w:tcW w:w="573" w:type="pct"/>
            <w:tcBorders>
              <w:top w:val="nil"/>
              <w:left w:val="nil"/>
              <w:bottom w:val="nil"/>
              <w:right w:val="nil"/>
            </w:tcBorders>
            <w:shd w:val="clear" w:color="auto" w:fill="auto"/>
            <w:noWrap/>
            <w:vAlign w:val="bottom"/>
            <w:hideMark/>
          </w:tcPr>
          <w:p w14:paraId="061469F2" w14:textId="77777777" w:rsidR="0023141A" w:rsidRPr="00EC1119" w:rsidRDefault="0023141A" w:rsidP="00F53AB3">
            <w:pPr>
              <w:rPr>
                <w:lang w:val="es-CO" w:eastAsia="es-MX"/>
              </w:rPr>
            </w:pPr>
          </w:p>
        </w:tc>
        <w:tc>
          <w:tcPr>
            <w:tcW w:w="781" w:type="pct"/>
            <w:tcBorders>
              <w:top w:val="nil"/>
              <w:left w:val="nil"/>
              <w:bottom w:val="nil"/>
              <w:right w:val="nil"/>
            </w:tcBorders>
            <w:shd w:val="clear" w:color="auto" w:fill="auto"/>
            <w:noWrap/>
            <w:vAlign w:val="bottom"/>
            <w:hideMark/>
          </w:tcPr>
          <w:p w14:paraId="58311652" w14:textId="77777777" w:rsidR="0023141A" w:rsidRPr="00EC1119" w:rsidRDefault="0023141A" w:rsidP="00F53AB3">
            <w:pPr>
              <w:rPr>
                <w:lang w:val="es-CO" w:eastAsia="es-MX"/>
              </w:rPr>
            </w:pPr>
          </w:p>
        </w:tc>
      </w:tr>
      <w:tr w:rsidR="0023141A" w:rsidRPr="00EC1119" w14:paraId="62F68DBB"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14AE2A40" w14:textId="77777777" w:rsidR="0023141A" w:rsidRPr="00EC1119" w:rsidRDefault="0023141A" w:rsidP="00F53AB3">
            <w:pPr>
              <w:rPr>
                <w:b/>
                <w:bCs/>
                <w:lang w:val="es-CO" w:eastAsia="es-MX"/>
              </w:rPr>
            </w:pPr>
            <w:r w:rsidRPr="00EC1119">
              <w:rPr>
                <w:b/>
                <w:bCs/>
                <w:lang w:val="es-CO" w:eastAsia="es-MX"/>
              </w:rPr>
              <w:t>PM10</w:t>
            </w:r>
          </w:p>
        </w:tc>
        <w:tc>
          <w:tcPr>
            <w:tcW w:w="598" w:type="pct"/>
            <w:tcBorders>
              <w:top w:val="nil"/>
              <w:left w:val="nil"/>
              <w:bottom w:val="nil"/>
              <w:right w:val="nil"/>
            </w:tcBorders>
            <w:shd w:val="clear" w:color="auto" w:fill="auto"/>
            <w:noWrap/>
            <w:vAlign w:val="bottom"/>
            <w:hideMark/>
          </w:tcPr>
          <w:p w14:paraId="78978920" w14:textId="77777777" w:rsidR="0023141A" w:rsidRPr="00EC1119" w:rsidRDefault="0023141A" w:rsidP="00F53AB3">
            <w:pPr>
              <w:rPr>
                <w:b/>
                <w:bCs/>
                <w:lang w:val="es-CO" w:eastAsia="es-MX"/>
              </w:rPr>
            </w:pPr>
          </w:p>
        </w:tc>
        <w:tc>
          <w:tcPr>
            <w:tcW w:w="550" w:type="pct"/>
            <w:tcBorders>
              <w:top w:val="nil"/>
              <w:left w:val="nil"/>
              <w:bottom w:val="nil"/>
              <w:right w:val="nil"/>
            </w:tcBorders>
            <w:shd w:val="clear" w:color="auto" w:fill="auto"/>
            <w:noWrap/>
            <w:vAlign w:val="bottom"/>
            <w:hideMark/>
          </w:tcPr>
          <w:p w14:paraId="68749373" w14:textId="77777777" w:rsidR="0023141A" w:rsidRPr="00EC1119" w:rsidRDefault="0023141A" w:rsidP="00F53AB3">
            <w:pPr>
              <w:rPr>
                <w:lang w:val="es-CO" w:eastAsia="es-MX"/>
              </w:rPr>
            </w:pPr>
          </w:p>
        </w:tc>
        <w:tc>
          <w:tcPr>
            <w:tcW w:w="572" w:type="pct"/>
            <w:tcBorders>
              <w:top w:val="nil"/>
              <w:left w:val="nil"/>
              <w:bottom w:val="nil"/>
              <w:right w:val="nil"/>
            </w:tcBorders>
            <w:shd w:val="clear" w:color="auto" w:fill="auto"/>
            <w:noWrap/>
            <w:vAlign w:val="bottom"/>
            <w:hideMark/>
          </w:tcPr>
          <w:p w14:paraId="5B49824F" w14:textId="77777777" w:rsidR="0023141A" w:rsidRPr="00EC1119" w:rsidRDefault="0023141A" w:rsidP="00F53AB3">
            <w:pPr>
              <w:rPr>
                <w:lang w:val="es-CO" w:eastAsia="es-MX"/>
              </w:rPr>
            </w:pPr>
          </w:p>
        </w:tc>
        <w:tc>
          <w:tcPr>
            <w:tcW w:w="574" w:type="pct"/>
            <w:tcBorders>
              <w:top w:val="nil"/>
              <w:left w:val="nil"/>
              <w:bottom w:val="nil"/>
              <w:right w:val="nil"/>
            </w:tcBorders>
            <w:shd w:val="clear" w:color="auto" w:fill="auto"/>
            <w:noWrap/>
            <w:vAlign w:val="bottom"/>
            <w:hideMark/>
          </w:tcPr>
          <w:p w14:paraId="2E19013E" w14:textId="77777777" w:rsidR="0023141A" w:rsidRPr="00EC1119" w:rsidRDefault="0023141A" w:rsidP="00F53AB3">
            <w:pPr>
              <w:rPr>
                <w:lang w:val="es-CO" w:eastAsia="es-MX"/>
              </w:rPr>
            </w:pPr>
          </w:p>
        </w:tc>
        <w:tc>
          <w:tcPr>
            <w:tcW w:w="573" w:type="pct"/>
            <w:tcBorders>
              <w:top w:val="nil"/>
              <w:left w:val="nil"/>
              <w:bottom w:val="nil"/>
              <w:right w:val="nil"/>
            </w:tcBorders>
            <w:shd w:val="clear" w:color="auto" w:fill="auto"/>
            <w:noWrap/>
            <w:vAlign w:val="bottom"/>
            <w:hideMark/>
          </w:tcPr>
          <w:p w14:paraId="10517A9F" w14:textId="77777777" w:rsidR="0023141A" w:rsidRPr="00EC1119" w:rsidRDefault="0023141A" w:rsidP="00F53AB3">
            <w:pPr>
              <w:rPr>
                <w:lang w:val="es-CO" w:eastAsia="es-MX"/>
              </w:rPr>
            </w:pPr>
          </w:p>
        </w:tc>
        <w:tc>
          <w:tcPr>
            <w:tcW w:w="781" w:type="pct"/>
            <w:tcBorders>
              <w:top w:val="nil"/>
              <w:left w:val="nil"/>
              <w:bottom w:val="nil"/>
              <w:right w:val="nil"/>
            </w:tcBorders>
            <w:shd w:val="clear" w:color="auto" w:fill="auto"/>
            <w:noWrap/>
            <w:vAlign w:val="bottom"/>
            <w:hideMark/>
          </w:tcPr>
          <w:p w14:paraId="20D9EA19" w14:textId="77777777" w:rsidR="0023141A" w:rsidRPr="00EC1119" w:rsidRDefault="0023141A" w:rsidP="00F53AB3">
            <w:pPr>
              <w:rPr>
                <w:lang w:val="es-CO" w:eastAsia="es-MX"/>
              </w:rPr>
            </w:pPr>
          </w:p>
        </w:tc>
      </w:tr>
      <w:tr w:rsidR="0023141A" w:rsidRPr="00EC1119" w14:paraId="6E07566D"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27A8382B" w14:textId="77777777" w:rsidR="0023141A" w:rsidRPr="00EC1119" w:rsidRDefault="0023141A" w:rsidP="00F53AB3">
            <w:pPr>
              <w:ind w:firstLineChars="100" w:firstLine="200"/>
              <w:rPr>
                <w:lang w:val="es-CO" w:eastAsia="es-MX"/>
              </w:rPr>
            </w:pPr>
            <w:proofErr w:type="spellStart"/>
            <w:r w:rsidRPr="00EC1119">
              <w:rPr>
                <w:lang w:val="es-CO" w:eastAsia="es-MX"/>
              </w:rPr>
              <w:t>Campo_de_Marte</w:t>
            </w:r>
            <w:proofErr w:type="spellEnd"/>
          </w:p>
        </w:tc>
        <w:tc>
          <w:tcPr>
            <w:tcW w:w="598" w:type="pct"/>
            <w:tcBorders>
              <w:top w:val="nil"/>
              <w:left w:val="nil"/>
              <w:bottom w:val="nil"/>
              <w:right w:val="nil"/>
            </w:tcBorders>
            <w:shd w:val="clear" w:color="auto" w:fill="auto"/>
            <w:noWrap/>
            <w:vAlign w:val="bottom"/>
            <w:hideMark/>
          </w:tcPr>
          <w:p w14:paraId="7B7F9F69" w14:textId="77777777" w:rsidR="0023141A" w:rsidRPr="00EC1119" w:rsidRDefault="0023141A" w:rsidP="00F53AB3">
            <w:pPr>
              <w:jc w:val="center"/>
              <w:rPr>
                <w:lang w:val="es-CO" w:eastAsia="es-MX"/>
              </w:rPr>
            </w:pPr>
            <w:r w:rsidRPr="00EC1119">
              <w:rPr>
                <w:lang w:val="es-CO" w:eastAsia="es-MX"/>
              </w:rPr>
              <w:t>28.6</w:t>
            </w:r>
          </w:p>
        </w:tc>
        <w:tc>
          <w:tcPr>
            <w:tcW w:w="550" w:type="pct"/>
            <w:tcBorders>
              <w:top w:val="nil"/>
              <w:left w:val="nil"/>
              <w:bottom w:val="nil"/>
              <w:right w:val="nil"/>
            </w:tcBorders>
            <w:shd w:val="clear" w:color="auto" w:fill="auto"/>
            <w:noWrap/>
            <w:vAlign w:val="bottom"/>
            <w:hideMark/>
          </w:tcPr>
          <w:p w14:paraId="6A137E85" w14:textId="77777777" w:rsidR="0023141A" w:rsidRPr="00EC1119" w:rsidRDefault="0023141A" w:rsidP="00F53AB3">
            <w:pPr>
              <w:jc w:val="center"/>
              <w:rPr>
                <w:lang w:val="es-CO" w:eastAsia="es-MX"/>
              </w:rPr>
            </w:pPr>
            <w:r w:rsidRPr="00EC1119">
              <w:rPr>
                <w:lang w:val="es-CO" w:eastAsia="es-MX"/>
              </w:rPr>
              <w:t>27.0</w:t>
            </w:r>
          </w:p>
        </w:tc>
        <w:tc>
          <w:tcPr>
            <w:tcW w:w="572" w:type="pct"/>
            <w:tcBorders>
              <w:top w:val="nil"/>
              <w:left w:val="nil"/>
              <w:bottom w:val="nil"/>
              <w:right w:val="nil"/>
            </w:tcBorders>
            <w:shd w:val="clear" w:color="auto" w:fill="auto"/>
            <w:noWrap/>
            <w:vAlign w:val="bottom"/>
            <w:hideMark/>
          </w:tcPr>
          <w:p w14:paraId="08E9AC6E"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0788B1F6" w14:textId="77777777" w:rsidR="0023141A" w:rsidRPr="00EC1119" w:rsidRDefault="0023141A" w:rsidP="00F53AB3">
            <w:pPr>
              <w:jc w:val="center"/>
              <w:rPr>
                <w:lang w:val="es-CO" w:eastAsia="es-MX"/>
              </w:rPr>
            </w:pPr>
            <w:r w:rsidRPr="00EC1119">
              <w:rPr>
                <w:lang w:val="es-CO" w:eastAsia="es-MX"/>
              </w:rPr>
              <w:t>84.0</w:t>
            </w:r>
          </w:p>
        </w:tc>
        <w:tc>
          <w:tcPr>
            <w:tcW w:w="573" w:type="pct"/>
            <w:tcBorders>
              <w:top w:val="nil"/>
              <w:left w:val="nil"/>
              <w:bottom w:val="nil"/>
              <w:right w:val="nil"/>
            </w:tcBorders>
            <w:shd w:val="clear" w:color="auto" w:fill="auto"/>
            <w:noWrap/>
            <w:vAlign w:val="bottom"/>
            <w:hideMark/>
          </w:tcPr>
          <w:p w14:paraId="221FCE1C" w14:textId="77777777" w:rsidR="0023141A" w:rsidRPr="00EC1119" w:rsidRDefault="0023141A" w:rsidP="00F53AB3">
            <w:pPr>
              <w:jc w:val="center"/>
              <w:rPr>
                <w:lang w:val="es-CO" w:eastAsia="es-MX"/>
              </w:rPr>
            </w:pPr>
            <w:r w:rsidRPr="00EC1119">
              <w:rPr>
                <w:lang w:val="es-CO" w:eastAsia="es-MX"/>
              </w:rPr>
              <w:t>13.4</w:t>
            </w:r>
          </w:p>
        </w:tc>
        <w:tc>
          <w:tcPr>
            <w:tcW w:w="781" w:type="pct"/>
            <w:tcBorders>
              <w:top w:val="nil"/>
              <w:left w:val="nil"/>
              <w:bottom w:val="nil"/>
              <w:right w:val="nil"/>
            </w:tcBorders>
            <w:shd w:val="clear" w:color="auto" w:fill="auto"/>
            <w:noWrap/>
            <w:vAlign w:val="bottom"/>
            <w:hideMark/>
          </w:tcPr>
          <w:p w14:paraId="3932D44D" w14:textId="77777777" w:rsidR="0023141A" w:rsidRPr="00EC1119" w:rsidRDefault="0023141A" w:rsidP="00F53AB3">
            <w:pPr>
              <w:jc w:val="center"/>
              <w:rPr>
                <w:lang w:val="es-CO" w:eastAsia="es-MX"/>
              </w:rPr>
            </w:pPr>
            <w:r w:rsidRPr="00EC1119">
              <w:rPr>
                <w:lang w:val="es-CO" w:eastAsia="es-MX"/>
              </w:rPr>
              <w:t>47.0</w:t>
            </w:r>
          </w:p>
        </w:tc>
      </w:tr>
      <w:tr w:rsidR="0023141A" w:rsidRPr="00EC1119" w14:paraId="0996AD53"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2A8B863D" w14:textId="77777777" w:rsidR="0023141A" w:rsidRPr="00EC1119" w:rsidRDefault="0023141A" w:rsidP="00F53AB3">
            <w:pPr>
              <w:ind w:firstLineChars="100" w:firstLine="200"/>
              <w:rPr>
                <w:lang w:val="es-CO" w:eastAsia="es-MX"/>
              </w:rPr>
            </w:pPr>
            <w:proofErr w:type="spellStart"/>
            <w:r w:rsidRPr="00EC1119">
              <w:rPr>
                <w:lang w:val="es-CO" w:eastAsia="es-MX"/>
              </w:rPr>
              <w:t>Carabayllo</w:t>
            </w:r>
            <w:proofErr w:type="spellEnd"/>
          </w:p>
        </w:tc>
        <w:tc>
          <w:tcPr>
            <w:tcW w:w="598" w:type="pct"/>
            <w:tcBorders>
              <w:top w:val="nil"/>
              <w:left w:val="nil"/>
              <w:bottom w:val="nil"/>
              <w:right w:val="nil"/>
            </w:tcBorders>
            <w:shd w:val="clear" w:color="auto" w:fill="auto"/>
            <w:noWrap/>
            <w:vAlign w:val="bottom"/>
            <w:hideMark/>
          </w:tcPr>
          <w:p w14:paraId="45A9A8B4" w14:textId="77777777" w:rsidR="0023141A" w:rsidRPr="00EC1119" w:rsidRDefault="0023141A" w:rsidP="00F53AB3">
            <w:pPr>
              <w:jc w:val="center"/>
              <w:rPr>
                <w:lang w:val="es-CO" w:eastAsia="es-MX"/>
              </w:rPr>
            </w:pPr>
            <w:r w:rsidRPr="00EC1119">
              <w:rPr>
                <w:lang w:val="es-CO" w:eastAsia="es-MX"/>
              </w:rPr>
              <w:t>39.3</w:t>
            </w:r>
          </w:p>
        </w:tc>
        <w:tc>
          <w:tcPr>
            <w:tcW w:w="550" w:type="pct"/>
            <w:tcBorders>
              <w:top w:val="nil"/>
              <w:left w:val="nil"/>
              <w:bottom w:val="nil"/>
              <w:right w:val="nil"/>
            </w:tcBorders>
            <w:shd w:val="clear" w:color="auto" w:fill="auto"/>
            <w:noWrap/>
            <w:vAlign w:val="bottom"/>
            <w:hideMark/>
          </w:tcPr>
          <w:p w14:paraId="18B9D35D" w14:textId="77777777" w:rsidR="0023141A" w:rsidRPr="00EC1119" w:rsidRDefault="0023141A" w:rsidP="00F53AB3">
            <w:pPr>
              <w:jc w:val="center"/>
              <w:rPr>
                <w:lang w:val="es-CO" w:eastAsia="es-MX"/>
              </w:rPr>
            </w:pPr>
            <w:r w:rsidRPr="00EC1119">
              <w:rPr>
                <w:lang w:val="es-CO" w:eastAsia="es-MX"/>
              </w:rPr>
              <w:t>37.0</w:t>
            </w:r>
          </w:p>
        </w:tc>
        <w:tc>
          <w:tcPr>
            <w:tcW w:w="572" w:type="pct"/>
            <w:tcBorders>
              <w:top w:val="nil"/>
              <w:left w:val="nil"/>
              <w:bottom w:val="nil"/>
              <w:right w:val="nil"/>
            </w:tcBorders>
            <w:shd w:val="clear" w:color="auto" w:fill="auto"/>
            <w:noWrap/>
            <w:vAlign w:val="bottom"/>
            <w:hideMark/>
          </w:tcPr>
          <w:p w14:paraId="2BEE65B0" w14:textId="77777777" w:rsidR="0023141A" w:rsidRPr="00EC1119" w:rsidRDefault="0023141A" w:rsidP="00F53AB3">
            <w:pPr>
              <w:jc w:val="center"/>
              <w:rPr>
                <w:lang w:val="es-CO" w:eastAsia="es-MX"/>
              </w:rPr>
            </w:pPr>
            <w:r w:rsidRPr="00EC1119">
              <w:rPr>
                <w:lang w:val="es-CO" w:eastAsia="es-MX"/>
              </w:rPr>
              <w:t>15.0</w:t>
            </w:r>
          </w:p>
        </w:tc>
        <w:tc>
          <w:tcPr>
            <w:tcW w:w="574" w:type="pct"/>
            <w:tcBorders>
              <w:top w:val="nil"/>
              <w:left w:val="nil"/>
              <w:bottom w:val="nil"/>
              <w:right w:val="nil"/>
            </w:tcBorders>
            <w:shd w:val="clear" w:color="auto" w:fill="auto"/>
            <w:noWrap/>
            <w:vAlign w:val="bottom"/>
            <w:hideMark/>
          </w:tcPr>
          <w:p w14:paraId="73BFCEAD" w14:textId="77777777" w:rsidR="0023141A" w:rsidRPr="00EC1119" w:rsidRDefault="0023141A" w:rsidP="00F53AB3">
            <w:pPr>
              <w:jc w:val="center"/>
              <w:rPr>
                <w:lang w:val="es-CO" w:eastAsia="es-MX"/>
              </w:rPr>
            </w:pPr>
            <w:r w:rsidRPr="00EC1119">
              <w:rPr>
                <w:lang w:val="es-CO" w:eastAsia="es-MX"/>
              </w:rPr>
              <w:t>87.0</w:t>
            </w:r>
          </w:p>
        </w:tc>
        <w:tc>
          <w:tcPr>
            <w:tcW w:w="573" w:type="pct"/>
            <w:tcBorders>
              <w:top w:val="nil"/>
              <w:left w:val="nil"/>
              <w:bottom w:val="nil"/>
              <w:right w:val="nil"/>
            </w:tcBorders>
            <w:shd w:val="clear" w:color="auto" w:fill="auto"/>
            <w:noWrap/>
            <w:vAlign w:val="bottom"/>
            <w:hideMark/>
          </w:tcPr>
          <w:p w14:paraId="2068B677" w14:textId="77777777" w:rsidR="0023141A" w:rsidRPr="00EC1119" w:rsidRDefault="0023141A" w:rsidP="00F53AB3">
            <w:pPr>
              <w:jc w:val="center"/>
              <w:rPr>
                <w:lang w:val="es-CO" w:eastAsia="es-MX"/>
              </w:rPr>
            </w:pPr>
            <w:r w:rsidRPr="00EC1119">
              <w:rPr>
                <w:lang w:val="es-CO" w:eastAsia="es-MX"/>
              </w:rPr>
              <w:t>14.1</w:t>
            </w:r>
          </w:p>
        </w:tc>
        <w:tc>
          <w:tcPr>
            <w:tcW w:w="781" w:type="pct"/>
            <w:tcBorders>
              <w:top w:val="nil"/>
              <w:left w:val="nil"/>
              <w:bottom w:val="nil"/>
              <w:right w:val="nil"/>
            </w:tcBorders>
            <w:shd w:val="clear" w:color="auto" w:fill="auto"/>
            <w:noWrap/>
            <w:vAlign w:val="bottom"/>
            <w:hideMark/>
          </w:tcPr>
          <w:p w14:paraId="6C2CB132" w14:textId="77777777" w:rsidR="0023141A" w:rsidRPr="00EC1119" w:rsidRDefault="0023141A" w:rsidP="00F53AB3">
            <w:pPr>
              <w:jc w:val="center"/>
              <w:rPr>
                <w:lang w:val="es-CO" w:eastAsia="es-MX"/>
              </w:rPr>
            </w:pPr>
            <w:r w:rsidRPr="00EC1119">
              <w:rPr>
                <w:lang w:val="es-CO" w:eastAsia="es-MX"/>
              </w:rPr>
              <w:t>36.0</w:t>
            </w:r>
          </w:p>
        </w:tc>
      </w:tr>
      <w:tr w:rsidR="0023141A" w:rsidRPr="00EC1119" w14:paraId="448DE559"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7483FAD4" w14:textId="77777777" w:rsidR="0023141A" w:rsidRPr="00EC1119" w:rsidRDefault="0023141A" w:rsidP="00F53AB3">
            <w:pPr>
              <w:ind w:firstLineChars="100" w:firstLine="200"/>
              <w:rPr>
                <w:lang w:val="es-CO" w:eastAsia="es-MX"/>
              </w:rPr>
            </w:pPr>
            <w:proofErr w:type="spellStart"/>
            <w:r w:rsidRPr="00EC1119">
              <w:rPr>
                <w:lang w:val="es-CO" w:eastAsia="es-MX"/>
              </w:rPr>
              <w:t>Puente_Piedra</w:t>
            </w:r>
            <w:proofErr w:type="spellEnd"/>
          </w:p>
        </w:tc>
        <w:tc>
          <w:tcPr>
            <w:tcW w:w="598" w:type="pct"/>
            <w:tcBorders>
              <w:top w:val="nil"/>
              <w:left w:val="nil"/>
              <w:bottom w:val="nil"/>
              <w:right w:val="nil"/>
            </w:tcBorders>
            <w:shd w:val="clear" w:color="auto" w:fill="auto"/>
            <w:noWrap/>
            <w:vAlign w:val="bottom"/>
            <w:hideMark/>
          </w:tcPr>
          <w:p w14:paraId="063A8145" w14:textId="77777777" w:rsidR="0023141A" w:rsidRPr="00EC1119" w:rsidRDefault="0023141A" w:rsidP="00F53AB3">
            <w:pPr>
              <w:jc w:val="center"/>
              <w:rPr>
                <w:lang w:val="es-CO" w:eastAsia="es-MX"/>
              </w:rPr>
            </w:pPr>
            <w:r w:rsidRPr="00EC1119">
              <w:rPr>
                <w:lang w:val="es-CO" w:eastAsia="es-MX"/>
              </w:rPr>
              <w:t>28.9</w:t>
            </w:r>
          </w:p>
        </w:tc>
        <w:tc>
          <w:tcPr>
            <w:tcW w:w="550" w:type="pct"/>
            <w:tcBorders>
              <w:top w:val="nil"/>
              <w:left w:val="nil"/>
              <w:bottom w:val="nil"/>
              <w:right w:val="nil"/>
            </w:tcBorders>
            <w:shd w:val="clear" w:color="auto" w:fill="auto"/>
            <w:noWrap/>
            <w:vAlign w:val="bottom"/>
            <w:hideMark/>
          </w:tcPr>
          <w:p w14:paraId="0D7DD710" w14:textId="77777777" w:rsidR="0023141A" w:rsidRPr="00EC1119" w:rsidRDefault="0023141A" w:rsidP="00F53AB3">
            <w:pPr>
              <w:jc w:val="center"/>
              <w:rPr>
                <w:lang w:val="es-CO" w:eastAsia="es-MX"/>
              </w:rPr>
            </w:pPr>
            <w:r w:rsidRPr="00EC1119">
              <w:rPr>
                <w:lang w:val="es-CO" w:eastAsia="es-MX"/>
              </w:rPr>
              <w:t>28.0</w:t>
            </w:r>
          </w:p>
        </w:tc>
        <w:tc>
          <w:tcPr>
            <w:tcW w:w="572" w:type="pct"/>
            <w:tcBorders>
              <w:top w:val="nil"/>
              <w:left w:val="nil"/>
              <w:bottom w:val="nil"/>
              <w:right w:val="nil"/>
            </w:tcBorders>
            <w:shd w:val="clear" w:color="auto" w:fill="auto"/>
            <w:noWrap/>
            <w:vAlign w:val="bottom"/>
            <w:hideMark/>
          </w:tcPr>
          <w:p w14:paraId="2FB02D9F"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14D2F811" w14:textId="77777777" w:rsidR="0023141A" w:rsidRPr="00EC1119" w:rsidRDefault="0023141A" w:rsidP="00F53AB3">
            <w:pPr>
              <w:jc w:val="center"/>
              <w:rPr>
                <w:lang w:val="es-CO" w:eastAsia="es-MX"/>
              </w:rPr>
            </w:pPr>
            <w:r w:rsidRPr="00EC1119">
              <w:rPr>
                <w:lang w:val="es-CO" w:eastAsia="es-MX"/>
              </w:rPr>
              <w:t>84.0</w:t>
            </w:r>
          </w:p>
        </w:tc>
        <w:tc>
          <w:tcPr>
            <w:tcW w:w="573" w:type="pct"/>
            <w:tcBorders>
              <w:top w:val="nil"/>
              <w:left w:val="nil"/>
              <w:bottom w:val="nil"/>
              <w:right w:val="nil"/>
            </w:tcBorders>
            <w:shd w:val="clear" w:color="auto" w:fill="auto"/>
            <w:noWrap/>
            <w:vAlign w:val="bottom"/>
            <w:hideMark/>
          </w:tcPr>
          <w:p w14:paraId="7C836CB4" w14:textId="77777777" w:rsidR="0023141A" w:rsidRPr="00EC1119" w:rsidRDefault="0023141A" w:rsidP="00F53AB3">
            <w:pPr>
              <w:jc w:val="center"/>
              <w:rPr>
                <w:lang w:val="es-CO" w:eastAsia="es-MX"/>
              </w:rPr>
            </w:pPr>
            <w:r w:rsidRPr="00EC1119">
              <w:rPr>
                <w:lang w:val="es-CO" w:eastAsia="es-MX"/>
              </w:rPr>
              <w:t>13.8</w:t>
            </w:r>
          </w:p>
        </w:tc>
        <w:tc>
          <w:tcPr>
            <w:tcW w:w="781" w:type="pct"/>
            <w:tcBorders>
              <w:top w:val="nil"/>
              <w:left w:val="nil"/>
              <w:bottom w:val="nil"/>
              <w:right w:val="nil"/>
            </w:tcBorders>
            <w:shd w:val="clear" w:color="auto" w:fill="auto"/>
            <w:noWrap/>
            <w:vAlign w:val="bottom"/>
            <w:hideMark/>
          </w:tcPr>
          <w:p w14:paraId="58EE2F00" w14:textId="77777777" w:rsidR="0023141A" w:rsidRPr="00EC1119" w:rsidRDefault="0023141A" w:rsidP="00F53AB3">
            <w:pPr>
              <w:jc w:val="center"/>
              <w:rPr>
                <w:lang w:val="es-CO" w:eastAsia="es-MX"/>
              </w:rPr>
            </w:pPr>
            <w:r w:rsidRPr="00EC1119">
              <w:rPr>
                <w:lang w:val="es-CO" w:eastAsia="es-MX"/>
              </w:rPr>
              <w:t>48.0</w:t>
            </w:r>
          </w:p>
        </w:tc>
      </w:tr>
      <w:tr w:rsidR="0023141A" w:rsidRPr="00EC1119" w14:paraId="26975BDC"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12A452B7" w14:textId="77777777" w:rsidR="0023141A" w:rsidRPr="00EC1119" w:rsidRDefault="0023141A" w:rsidP="00F53AB3">
            <w:pPr>
              <w:ind w:firstLineChars="100" w:firstLine="200"/>
              <w:rPr>
                <w:lang w:val="es-CO" w:eastAsia="es-MX"/>
              </w:rPr>
            </w:pPr>
            <w:proofErr w:type="spellStart"/>
            <w:r w:rsidRPr="00EC1119">
              <w:rPr>
                <w:lang w:val="es-CO" w:eastAsia="es-MX"/>
              </w:rPr>
              <w:t>San_Borja</w:t>
            </w:r>
            <w:proofErr w:type="spellEnd"/>
          </w:p>
        </w:tc>
        <w:tc>
          <w:tcPr>
            <w:tcW w:w="598" w:type="pct"/>
            <w:tcBorders>
              <w:top w:val="nil"/>
              <w:left w:val="nil"/>
              <w:bottom w:val="nil"/>
              <w:right w:val="nil"/>
            </w:tcBorders>
            <w:shd w:val="clear" w:color="auto" w:fill="auto"/>
            <w:noWrap/>
            <w:vAlign w:val="bottom"/>
            <w:hideMark/>
          </w:tcPr>
          <w:p w14:paraId="4505DF9E" w14:textId="77777777" w:rsidR="0023141A" w:rsidRPr="00EC1119" w:rsidRDefault="0023141A" w:rsidP="00F53AB3">
            <w:pPr>
              <w:jc w:val="center"/>
              <w:rPr>
                <w:lang w:val="es-CO" w:eastAsia="es-MX"/>
              </w:rPr>
            </w:pPr>
            <w:r w:rsidRPr="00EC1119">
              <w:rPr>
                <w:lang w:val="es-CO" w:eastAsia="es-MX"/>
              </w:rPr>
              <w:t>44.3</w:t>
            </w:r>
          </w:p>
        </w:tc>
        <w:tc>
          <w:tcPr>
            <w:tcW w:w="550" w:type="pct"/>
            <w:tcBorders>
              <w:top w:val="nil"/>
              <w:left w:val="nil"/>
              <w:bottom w:val="nil"/>
              <w:right w:val="nil"/>
            </w:tcBorders>
            <w:shd w:val="clear" w:color="auto" w:fill="auto"/>
            <w:noWrap/>
            <w:vAlign w:val="bottom"/>
            <w:hideMark/>
          </w:tcPr>
          <w:p w14:paraId="0D607F87" w14:textId="77777777" w:rsidR="0023141A" w:rsidRPr="00EC1119" w:rsidRDefault="0023141A" w:rsidP="00F53AB3">
            <w:pPr>
              <w:jc w:val="center"/>
              <w:rPr>
                <w:lang w:val="es-CO" w:eastAsia="es-MX"/>
              </w:rPr>
            </w:pPr>
            <w:r w:rsidRPr="00EC1119">
              <w:rPr>
                <w:lang w:val="es-CO" w:eastAsia="es-MX"/>
              </w:rPr>
              <w:t>45.0</w:t>
            </w:r>
          </w:p>
        </w:tc>
        <w:tc>
          <w:tcPr>
            <w:tcW w:w="572" w:type="pct"/>
            <w:tcBorders>
              <w:top w:val="nil"/>
              <w:left w:val="nil"/>
              <w:bottom w:val="nil"/>
              <w:right w:val="nil"/>
            </w:tcBorders>
            <w:shd w:val="clear" w:color="auto" w:fill="auto"/>
            <w:noWrap/>
            <w:vAlign w:val="bottom"/>
            <w:hideMark/>
          </w:tcPr>
          <w:p w14:paraId="4A090A53"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57DDF967" w14:textId="77777777" w:rsidR="0023141A" w:rsidRPr="00EC1119" w:rsidRDefault="0023141A" w:rsidP="00F53AB3">
            <w:pPr>
              <w:jc w:val="center"/>
              <w:rPr>
                <w:lang w:val="es-CO" w:eastAsia="es-MX"/>
              </w:rPr>
            </w:pPr>
            <w:r w:rsidRPr="00EC1119">
              <w:rPr>
                <w:lang w:val="es-CO" w:eastAsia="es-MX"/>
              </w:rPr>
              <w:t>84.0</w:t>
            </w:r>
          </w:p>
        </w:tc>
        <w:tc>
          <w:tcPr>
            <w:tcW w:w="573" w:type="pct"/>
            <w:tcBorders>
              <w:top w:val="nil"/>
              <w:left w:val="nil"/>
              <w:bottom w:val="nil"/>
              <w:right w:val="nil"/>
            </w:tcBorders>
            <w:shd w:val="clear" w:color="auto" w:fill="auto"/>
            <w:noWrap/>
            <w:vAlign w:val="bottom"/>
            <w:hideMark/>
          </w:tcPr>
          <w:p w14:paraId="79B5C9CB" w14:textId="77777777" w:rsidR="0023141A" w:rsidRPr="00EC1119" w:rsidRDefault="0023141A" w:rsidP="00F53AB3">
            <w:pPr>
              <w:jc w:val="center"/>
              <w:rPr>
                <w:lang w:val="es-CO" w:eastAsia="es-MX"/>
              </w:rPr>
            </w:pPr>
            <w:r w:rsidRPr="00EC1119">
              <w:rPr>
                <w:lang w:val="es-CO" w:eastAsia="es-MX"/>
              </w:rPr>
              <w:t>11.2</w:t>
            </w:r>
          </w:p>
        </w:tc>
        <w:tc>
          <w:tcPr>
            <w:tcW w:w="781" w:type="pct"/>
            <w:tcBorders>
              <w:top w:val="nil"/>
              <w:left w:val="nil"/>
              <w:bottom w:val="nil"/>
              <w:right w:val="nil"/>
            </w:tcBorders>
            <w:shd w:val="clear" w:color="auto" w:fill="auto"/>
            <w:noWrap/>
            <w:vAlign w:val="bottom"/>
            <w:hideMark/>
          </w:tcPr>
          <w:p w14:paraId="4E0B67BB" w14:textId="77777777" w:rsidR="0023141A" w:rsidRPr="00EC1119" w:rsidRDefault="0023141A" w:rsidP="00F53AB3">
            <w:pPr>
              <w:jc w:val="center"/>
              <w:rPr>
                <w:lang w:val="es-CO" w:eastAsia="es-MX"/>
              </w:rPr>
            </w:pPr>
            <w:r w:rsidRPr="00EC1119">
              <w:rPr>
                <w:lang w:val="es-CO" w:eastAsia="es-MX"/>
              </w:rPr>
              <w:t>25.0</w:t>
            </w:r>
          </w:p>
        </w:tc>
      </w:tr>
      <w:tr w:rsidR="0023141A" w:rsidRPr="00EC1119" w14:paraId="05DA84DB"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17ABC21E" w14:textId="77777777" w:rsidR="0023141A" w:rsidRPr="00EC1119" w:rsidRDefault="0023141A" w:rsidP="00F53AB3">
            <w:pPr>
              <w:ind w:firstLineChars="100" w:firstLine="200"/>
              <w:rPr>
                <w:lang w:val="es-CO" w:eastAsia="es-MX"/>
              </w:rPr>
            </w:pPr>
            <w:proofErr w:type="spellStart"/>
            <w:r w:rsidRPr="00EC1119">
              <w:rPr>
                <w:lang w:val="es-CO" w:eastAsia="es-MX"/>
              </w:rPr>
              <w:t>San_Juan_Lurigancho</w:t>
            </w:r>
            <w:proofErr w:type="spellEnd"/>
          </w:p>
        </w:tc>
        <w:tc>
          <w:tcPr>
            <w:tcW w:w="598" w:type="pct"/>
            <w:tcBorders>
              <w:top w:val="nil"/>
              <w:left w:val="nil"/>
              <w:bottom w:val="nil"/>
              <w:right w:val="nil"/>
            </w:tcBorders>
            <w:shd w:val="clear" w:color="auto" w:fill="auto"/>
            <w:noWrap/>
            <w:vAlign w:val="bottom"/>
            <w:hideMark/>
          </w:tcPr>
          <w:p w14:paraId="3342BF68" w14:textId="77777777" w:rsidR="0023141A" w:rsidRPr="00EC1119" w:rsidRDefault="0023141A" w:rsidP="00F53AB3">
            <w:pPr>
              <w:jc w:val="center"/>
              <w:rPr>
                <w:lang w:val="es-CO" w:eastAsia="es-MX"/>
              </w:rPr>
            </w:pPr>
            <w:r w:rsidRPr="00EC1119">
              <w:rPr>
                <w:lang w:val="es-CO" w:eastAsia="es-MX"/>
              </w:rPr>
              <w:t>39.5</w:t>
            </w:r>
          </w:p>
        </w:tc>
        <w:tc>
          <w:tcPr>
            <w:tcW w:w="550" w:type="pct"/>
            <w:tcBorders>
              <w:top w:val="nil"/>
              <w:left w:val="nil"/>
              <w:bottom w:val="nil"/>
              <w:right w:val="nil"/>
            </w:tcBorders>
            <w:shd w:val="clear" w:color="auto" w:fill="auto"/>
            <w:noWrap/>
            <w:vAlign w:val="bottom"/>
            <w:hideMark/>
          </w:tcPr>
          <w:p w14:paraId="22B5CFB3" w14:textId="77777777" w:rsidR="0023141A" w:rsidRPr="00EC1119" w:rsidRDefault="0023141A" w:rsidP="00F53AB3">
            <w:pPr>
              <w:jc w:val="center"/>
              <w:rPr>
                <w:lang w:val="es-CO" w:eastAsia="es-MX"/>
              </w:rPr>
            </w:pPr>
            <w:r w:rsidRPr="00EC1119">
              <w:rPr>
                <w:lang w:val="es-CO" w:eastAsia="es-MX"/>
              </w:rPr>
              <w:t>41.0</w:t>
            </w:r>
          </w:p>
        </w:tc>
        <w:tc>
          <w:tcPr>
            <w:tcW w:w="572" w:type="pct"/>
            <w:tcBorders>
              <w:top w:val="nil"/>
              <w:left w:val="nil"/>
              <w:bottom w:val="nil"/>
              <w:right w:val="nil"/>
            </w:tcBorders>
            <w:shd w:val="clear" w:color="auto" w:fill="auto"/>
            <w:noWrap/>
            <w:vAlign w:val="bottom"/>
            <w:hideMark/>
          </w:tcPr>
          <w:p w14:paraId="33EDD47A"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45FD2CFA" w14:textId="77777777" w:rsidR="0023141A" w:rsidRPr="00EC1119" w:rsidRDefault="0023141A" w:rsidP="00F53AB3">
            <w:pPr>
              <w:jc w:val="center"/>
              <w:rPr>
                <w:lang w:val="es-CO" w:eastAsia="es-MX"/>
              </w:rPr>
            </w:pPr>
            <w:r w:rsidRPr="00EC1119">
              <w:rPr>
                <w:lang w:val="es-CO" w:eastAsia="es-MX"/>
              </w:rPr>
              <w:t>85.0</w:t>
            </w:r>
          </w:p>
        </w:tc>
        <w:tc>
          <w:tcPr>
            <w:tcW w:w="573" w:type="pct"/>
            <w:tcBorders>
              <w:top w:val="nil"/>
              <w:left w:val="nil"/>
              <w:bottom w:val="nil"/>
              <w:right w:val="nil"/>
            </w:tcBorders>
            <w:shd w:val="clear" w:color="auto" w:fill="auto"/>
            <w:noWrap/>
            <w:vAlign w:val="bottom"/>
            <w:hideMark/>
          </w:tcPr>
          <w:p w14:paraId="1CB358CD" w14:textId="77777777" w:rsidR="0023141A" w:rsidRPr="00EC1119" w:rsidRDefault="0023141A" w:rsidP="00F53AB3">
            <w:pPr>
              <w:jc w:val="center"/>
              <w:rPr>
                <w:lang w:val="es-CO" w:eastAsia="es-MX"/>
              </w:rPr>
            </w:pPr>
            <w:r w:rsidRPr="00EC1119">
              <w:rPr>
                <w:lang w:val="es-CO" w:eastAsia="es-MX"/>
              </w:rPr>
              <w:t>14.4</w:t>
            </w:r>
          </w:p>
        </w:tc>
        <w:tc>
          <w:tcPr>
            <w:tcW w:w="781" w:type="pct"/>
            <w:tcBorders>
              <w:top w:val="nil"/>
              <w:left w:val="nil"/>
              <w:bottom w:val="nil"/>
              <w:right w:val="nil"/>
            </w:tcBorders>
            <w:shd w:val="clear" w:color="auto" w:fill="auto"/>
            <w:noWrap/>
            <w:vAlign w:val="bottom"/>
            <w:hideMark/>
          </w:tcPr>
          <w:p w14:paraId="27626C1E" w14:textId="77777777" w:rsidR="0023141A" w:rsidRPr="00EC1119" w:rsidRDefault="0023141A" w:rsidP="00F53AB3">
            <w:pPr>
              <w:jc w:val="center"/>
              <w:rPr>
                <w:lang w:val="es-CO" w:eastAsia="es-MX"/>
              </w:rPr>
            </w:pPr>
            <w:r w:rsidRPr="00EC1119">
              <w:rPr>
                <w:lang w:val="es-CO" w:eastAsia="es-MX"/>
              </w:rPr>
              <w:t>36.0</w:t>
            </w:r>
          </w:p>
        </w:tc>
      </w:tr>
      <w:tr w:rsidR="0023141A" w:rsidRPr="00EC1119" w14:paraId="791A8A17" w14:textId="77777777" w:rsidTr="00F53AB3">
        <w:trPr>
          <w:trHeight w:val="320"/>
          <w:jc w:val="center"/>
        </w:trPr>
        <w:tc>
          <w:tcPr>
            <w:tcW w:w="1352" w:type="pct"/>
            <w:tcBorders>
              <w:top w:val="nil"/>
              <w:left w:val="nil"/>
              <w:bottom w:val="nil"/>
              <w:right w:val="nil"/>
            </w:tcBorders>
            <w:shd w:val="clear" w:color="auto" w:fill="auto"/>
            <w:noWrap/>
            <w:vAlign w:val="bottom"/>
            <w:hideMark/>
          </w:tcPr>
          <w:p w14:paraId="2B2783C0" w14:textId="77777777" w:rsidR="0023141A" w:rsidRPr="00EC1119" w:rsidRDefault="0023141A" w:rsidP="00F53AB3">
            <w:pPr>
              <w:ind w:firstLineChars="100" w:firstLine="200"/>
              <w:rPr>
                <w:lang w:val="es-CO" w:eastAsia="es-MX"/>
              </w:rPr>
            </w:pPr>
            <w:proofErr w:type="spellStart"/>
            <w:r w:rsidRPr="00EC1119">
              <w:rPr>
                <w:lang w:val="es-CO" w:eastAsia="es-MX"/>
              </w:rPr>
              <w:t>San_Martin_de_Porras</w:t>
            </w:r>
            <w:proofErr w:type="spellEnd"/>
          </w:p>
        </w:tc>
        <w:tc>
          <w:tcPr>
            <w:tcW w:w="598" w:type="pct"/>
            <w:tcBorders>
              <w:top w:val="nil"/>
              <w:left w:val="nil"/>
              <w:bottom w:val="nil"/>
              <w:right w:val="nil"/>
            </w:tcBorders>
            <w:shd w:val="clear" w:color="auto" w:fill="auto"/>
            <w:noWrap/>
            <w:vAlign w:val="bottom"/>
            <w:hideMark/>
          </w:tcPr>
          <w:p w14:paraId="25F62D73" w14:textId="77777777" w:rsidR="0023141A" w:rsidRPr="00EC1119" w:rsidRDefault="0023141A" w:rsidP="00F53AB3">
            <w:pPr>
              <w:jc w:val="center"/>
              <w:rPr>
                <w:lang w:val="es-CO" w:eastAsia="es-MX"/>
              </w:rPr>
            </w:pPr>
            <w:r w:rsidRPr="00EC1119">
              <w:rPr>
                <w:lang w:val="es-CO" w:eastAsia="es-MX"/>
              </w:rPr>
              <w:t>27.7</w:t>
            </w:r>
          </w:p>
        </w:tc>
        <w:tc>
          <w:tcPr>
            <w:tcW w:w="550" w:type="pct"/>
            <w:tcBorders>
              <w:top w:val="nil"/>
              <w:left w:val="nil"/>
              <w:bottom w:val="nil"/>
              <w:right w:val="nil"/>
            </w:tcBorders>
            <w:shd w:val="clear" w:color="auto" w:fill="auto"/>
            <w:noWrap/>
            <w:vAlign w:val="bottom"/>
            <w:hideMark/>
          </w:tcPr>
          <w:p w14:paraId="703A604D" w14:textId="77777777" w:rsidR="0023141A" w:rsidRPr="00EC1119" w:rsidRDefault="0023141A" w:rsidP="00F53AB3">
            <w:pPr>
              <w:jc w:val="center"/>
              <w:rPr>
                <w:lang w:val="es-CO" w:eastAsia="es-MX"/>
              </w:rPr>
            </w:pPr>
            <w:r w:rsidRPr="00EC1119">
              <w:rPr>
                <w:lang w:val="es-CO" w:eastAsia="es-MX"/>
              </w:rPr>
              <w:t>26.0</w:t>
            </w:r>
          </w:p>
        </w:tc>
        <w:tc>
          <w:tcPr>
            <w:tcW w:w="572" w:type="pct"/>
            <w:tcBorders>
              <w:top w:val="nil"/>
              <w:left w:val="nil"/>
              <w:bottom w:val="nil"/>
              <w:right w:val="nil"/>
            </w:tcBorders>
            <w:shd w:val="clear" w:color="auto" w:fill="auto"/>
            <w:noWrap/>
            <w:vAlign w:val="bottom"/>
            <w:hideMark/>
          </w:tcPr>
          <w:p w14:paraId="0A8D6DC6" w14:textId="77777777" w:rsidR="0023141A" w:rsidRPr="00EC1119" w:rsidRDefault="0023141A" w:rsidP="00F53AB3">
            <w:pPr>
              <w:jc w:val="center"/>
              <w:rPr>
                <w:lang w:val="es-CO" w:eastAsia="es-MX"/>
              </w:rPr>
            </w:pPr>
            <w:r w:rsidRPr="00EC1119">
              <w:rPr>
                <w:lang w:val="es-CO" w:eastAsia="es-MX"/>
              </w:rPr>
              <w:t>1.0</w:t>
            </w:r>
          </w:p>
        </w:tc>
        <w:tc>
          <w:tcPr>
            <w:tcW w:w="574" w:type="pct"/>
            <w:tcBorders>
              <w:top w:val="nil"/>
              <w:left w:val="nil"/>
              <w:bottom w:val="nil"/>
              <w:right w:val="nil"/>
            </w:tcBorders>
            <w:shd w:val="clear" w:color="auto" w:fill="auto"/>
            <w:noWrap/>
            <w:vAlign w:val="bottom"/>
            <w:hideMark/>
          </w:tcPr>
          <w:p w14:paraId="6EB90BE2" w14:textId="77777777" w:rsidR="0023141A" w:rsidRPr="00EC1119" w:rsidRDefault="0023141A" w:rsidP="00F53AB3">
            <w:pPr>
              <w:jc w:val="center"/>
              <w:rPr>
                <w:lang w:val="es-CO" w:eastAsia="es-MX"/>
              </w:rPr>
            </w:pPr>
            <w:r w:rsidRPr="00EC1119">
              <w:rPr>
                <w:lang w:val="es-CO" w:eastAsia="es-MX"/>
              </w:rPr>
              <w:t>68.0</w:t>
            </w:r>
          </w:p>
        </w:tc>
        <w:tc>
          <w:tcPr>
            <w:tcW w:w="573" w:type="pct"/>
            <w:tcBorders>
              <w:top w:val="nil"/>
              <w:left w:val="nil"/>
              <w:bottom w:val="nil"/>
              <w:right w:val="nil"/>
            </w:tcBorders>
            <w:shd w:val="clear" w:color="auto" w:fill="auto"/>
            <w:noWrap/>
            <w:vAlign w:val="bottom"/>
            <w:hideMark/>
          </w:tcPr>
          <w:p w14:paraId="4C09DDD4" w14:textId="77777777" w:rsidR="0023141A" w:rsidRPr="00EC1119" w:rsidRDefault="0023141A" w:rsidP="00F53AB3">
            <w:pPr>
              <w:jc w:val="center"/>
              <w:rPr>
                <w:lang w:val="es-CO" w:eastAsia="es-MX"/>
              </w:rPr>
            </w:pPr>
            <w:r w:rsidRPr="00EC1119">
              <w:rPr>
                <w:lang w:val="es-CO" w:eastAsia="es-MX"/>
              </w:rPr>
              <w:t>11.8</w:t>
            </w:r>
          </w:p>
        </w:tc>
        <w:tc>
          <w:tcPr>
            <w:tcW w:w="781" w:type="pct"/>
            <w:tcBorders>
              <w:top w:val="nil"/>
              <w:left w:val="nil"/>
              <w:bottom w:val="nil"/>
              <w:right w:val="nil"/>
            </w:tcBorders>
            <w:shd w:val="clear" w:color="auto" w:fill="auto"/>
            <w:noWrap/>
            <w:vAlign w:val="bottom"/>
            <w:hideMark/>
          </w:tcPr>
          <w:p w14:paraId="318FEA41" w14:textId="77777777" w:rsidR="0023141A" w:rsidRPr="00EC1119" w:rsidRDefault="0023141A" w:rsidP="00F53AB3">
            <w:pPr>
              <w:jc w:val="center"/>
              <w:rPr>
                <w:lang w:val="es-CO" w:eastAsia="es-MX"/>
              </w:rPr>
            </w:pPr>
            <w:r w:rsidRPr="00EC1119">
              <w:rPr>
                <w:lang w:val="es-CO" w:eastAsia="es-MX"/>
              </w:rPr>
              <w:t>43.0</w:t>
            </w:r>
          </w:p>
        </w:tc>
      </w:tr>
      <w:tr w:rsidR="0023141A" w:rsidRPr="00EC1119" w14:paraId="5BC8103A" w14:textId="77777777" w:rsidTr="00F53AB3">
        <w:trPr>
          <w:trHeight w:val="320"/>
          <w:jc w:val="center"/>
        </w:trPr>
        <w:tc>
          <w:tcPr>
            <w:tcW w:w="1352" w:type="pct"/>
            <w:tcBorders>
              <w:top w:val="nil"/>
              <w:left w:val="nil"/>
              <w:right w:val="nil"/>
            </w:tcBorders>
            <w:shd w:val="clear" w:color="auto" w:fill="auto"/>
            <w:noWrap/>
            <w:vAlign w:val="bottom"/>
            <w:hideMark/>
          </w:tcPr>
          <w:p w14:paraId="0A308354" w14:textId="77777777" w:rsidR="0023141A" w:rsidRPr="00EC1119" w:rsidRDefault="0023141A" w:rsidP="00F53AB3">
            <w:pPr>
              <w:ind w:firstLineChars="100" w:firstLine="200"/>
              <w:rPr>
                <w:lang w:val="es-CO" w:eastAsia="es-MX"/>
              </w:rPr>
            </w:pPr>
            <w:proofErr w:type="spellStart"/>
            <w:r w:rsidRPr="00EC1119">
              <w:rPr>
                <w:lang w:val="es-CO" w:eastAsia="es-MX"/>
              </w:rPr>
              <w:lastRenderedPageBreak/>
              <w:t>Santa_Anita</w:t>
            </w:r>
            <w:proofErr w:type="spellEnd"/>
          </w:p>
        </w:tc>
        <w:tc>
          <w:tcPr>
            <w:tcW w:w="598" w:type="pct"/>
            <w:tcBorders>
              <w:top w:val="nil"/>
              <w:left w:val="nil"/>
              <w:right w:val="nil"/>
            </w:tcBorders>
            <w:shd w:val="clear" w:color="auto" w:fill="auto"/>
            <w:noWrap/>
            <w:vAlign w:val="bottom"/>
            <w:hideMark/>
          </w:tcPr>
          <w:p w14:paraId="022AE172" w14:textId="77777777" w:rsidR="0023141A" w:rsidRPr="00EC1119" w:rsidRDefault="0023141A" w:rsidP="00F53AB3">
            <w:pPr>
              <w:jc w:val="center"/>
              <w:rPr>
                <w:lang w:val="es-CO" w:eastAsia="es-MX"/>
              </w:rPr>
            </w:pPr>
            <w:r w:rsidRPr="00EC1119">
              <w:rPr>
                <w:lang w:val="es-CO" w:eastAsia="es-MX"/>
              </w:rPr>
              <w:t>31.5</w:t>
            </w:r>
          </w:p>
        </w:tc>
        <w:tc>
          <w:tcPr>
            <w:tcW w:w="550" w:type="pct"/>
            <w:tcBorders>
              <w:top w:val="nil"/>
              <w:left w:val="nil"/>
              <w:right w:val="nil"/>
            </w:tcBorders>
            <w:shd w:val="clear" w:color="auto" w:fill="auto"/>
            <w:noWrap/>
            <w:vAlign w:val="bottom"/>
            <w:hideMark/>
          </w:tcPr>
          <w:p w14:paraId="4217812B" w14:textId="77777777" w:rsidR="0023141A" w:rsidRPr="00EC1119" w:rsidRDefault="0023141A" w:rsidP="00F53AB3">
            <w:pPr>
              <w:jc w:val="center"/>
              <w:rPr>
                <w:lang w:val="es-CO" w:eastAsia="es-MX"/>
              </w:rPr>
            </w:pPr>
            <w:r w:rsidRPr="00EC1119">
              <w:rPr>
                <w:lang w:val="es-CO" w:eastAsia="es-MX"/>
              </w:rPr>
              <w:t>31.0</w:t>
            </w:r>
          </w:p>
        </w:tc>
        <w:tc>
          <w:tcPr>
            <w:tcW w:w="572" w:type="pct"/>
            <w:tcBorders>
              <w:top w:val="nil"/>
              <w:left w:val="nil"/>
              <w:right w:val="nil"/>
            </w:tcBorders>
            <w:shd w:val="clear" w:color="auto" w:fill="auto"/>
            <w:noWrap/>
            <w:vAlign w:val="bottom"/>
            <w:hideMark/>
          </w:tcPr>
          <w:p w14:paraId="1AC335A7" w14:textId="77777777" w:rsidR="0023141A" w:rsidRPr="00EC1119" w:rsidRDefault="0023141A" w:rsidP="00F53AB3">
            <w:pPr>
              <w:jc w:val="center"/>
              <w:rPr>
                <w:lang w:val="es-CO" w:eastAsia="es-MX"/>
              </w:rPr>
            </w:pPr>
            <w:r w:rsidRPr="00EC1119">
              <w:rPr>
                <w:lang w:val="es-CO" w:eastAsia="es-MX"/>
              </w:rPr>
              <w:t>9.0</w:t>
            </w:r>
          </w:p>
        </w:tc>
        <w:tc>
          <w:tcPr>
            <w:tcW w:w="574" w:type="pct"/>
            <w:tcBorders>
              <w:top w:val="nil"/>
              <w:left w:val="nil"/>
              <w:right w:val="nil"/>
            </w:tcBorders>
            <w:shd w:val="clear" w:color="auto" w:fill="auto"/>
            <w:noWrap/>
            <w:vAlign w:val="bottom"/>
            <w:hideMark/>
          </w:tcPr>
          <w:p w14:paraId="4DEE08C8" w14:textId="77777777" w:rsidR="0023141A" w:rsidRPr="00EC1119" w:rsidRDefault="0023141A" w:rsidP="00F53AB3">
            <w:pPr>
              <w:jc w:val="center"/>
              <w:rPr>
                <w:lang w:val="es-CO" w:eastAsia="es-MX"/>
              </w:rPr>
            </w:pPr>
            <w:r w:rsidRPr="00EC1119">
              <w:rPr>
                <w:lang w:val="es-CO" w:eastAsia="es-MX"/>
              </w:rPr>
              <w:t>62.0</w:t>
            </w:r>
          </w:p>
        </w:tc>
        <w:tc>
          <w:tcPr>
            <w:tcW w:w="573" w:type="pct"/>
            <w:tcBorders>
              <w:top w:val="nil"/>
              <w:left w:val="nil"/>
              <w:right w:val="nil"/>
            </w:tcBorders>
            <w:shd w:val="clear" w:color="auto" w:fill="auto"/>
            <w:noWrap/>
            <w:vAlign w:val="bottom"/>
            <w:hideMark/>
          </w:tcPr>
          <w:p w14:paraId="3FD3B494" w14:textId="77777777" w:rsidR="0023141A" w:rsidRPr="00EC1119" w:rsidRDefault="0023141A" w:rsidP="00F53AB3">
            <w:pPr>
              <w:jc w:val="center"/>
              <w:rPr>
                <w:lang w:val="es-CO" w:eastAsia="es-MX"/>
              </w:rPr>
            </w:pPr>
            <w:r w:rsidRPr="00EC1119">
              <w:rPr>
                <w:lang w:val="es-CO" w:eastAsia="es-MX"/>
              </w:rPr>
              <w:t>8.1</w:t>
            </w:r>
          </w:p>
        </w:tc>
        <w:tc>
          <w:tcPr>
            <w:tcW w:w="781" w:type="pct"/>
            <w:tcBorders>
              <w:top w:val="nil"/>
              <w:left w:val="nil"/>
              <w:right w:val="nil"/>
            </w:tcBorders>
            <w:shd w:val="clear" w:color="auto" w:fill="auto"/>
            <w:noWrap/>
            <w:vAlign w:val="bottom"/>
            <w:hideMark/>
          </w:tcPr>
          <w:p w14:paraId="37C35607" w14:textId="77777777" w:rsidR="0023141A" w:rsidRPr="00EC1119" w:rsidRDefault="0023141A" w:rsidP="00F53AB3">
            <w:pPr>
              <w:jc w:val="center"/>
              <w:rPr>
                <w:lang w:val="es-CO" w:eastAsia="es-MX"/>
              </w:rPr>
            </w:pPr>
            <w:r w:rsidRPr="00EC1119">
              <w:rPr>
                <w:lang w:val="es-CO" w:eastAsia="es-MX"/>
              </w:rPr>
              <w:t>26.0</w:t>
            </w:r>
          </w:p>
        </w:tc>
      </w:tr>
      <w:tr w:rsidR="0023141A" w:rsidRPr="00EC1119" w14:paraId="7010DE70" w14:textId="77777777" w:rsidTr="00F53AB3">
        <w:trPr>
          <w:trHeight w:val="320"/>
          <w:jc w:val="center"/>
        </w:trPr>
        <w:tc>
          <w:tcPr>
            <w:tcW w:w="1352" w:type="pct"/>
            <w:tcBorders>
              <w:top w:val="nil"/>
              <w:left w:val="nil"/>
              <w:bottom w:val="single" w:sz="4" w:space="0" w:color="auto"/>
              <w:right w:val="nil"/>
            </w:tcBorders>
            <w:shd w:val="clear" w:color="auto" w:fill="auto"/>
            <w:noWrap/>
            <w:vAlign w:val="bottom"/>
            <w:hideMark/>
          </w:tcPr>
          <w:p w14:paraId="25235810" w14:textId="77777777" w:rsidR="0023141A" w:rsidRPr="00EC1119" w:rsidRDefault="0023141A" w:rsidP="00F53AB3">
            <w:pPr>
              <w:ind w:firstLineChars="100" w:firstLine="200"/>
              <w:rPr>
                <w:lang w:val="es-CO" w:eastAsia="es-MX"/>
              </w:rPr>
            </w:pPr>
            <w:proofErr w:type="spellStart"/>
            <w:r w:rsidRPr="00EC1119">
              <w:rPr>
                <w:lang w:val="es-CO" w:eastAsia="es-MX"/>
              </w:rPr>
              <w:t>Villa_Maria_Triunfo</w:t>
            </w:r>
            <w:proofErr w:type="spellEnd"/>
          </w:p>
        </w:tc>
        <w:tc>
          <w:tcPr>
            <w:tcW w:w="598" w:type="pct"/>
            <w:tcBorders>
              <w:top w:val="nil"/>
              <w:left w:val="nil"/>
              <w:bottom w:val="single" w:sz="4" w:space="0" w:color="auto"/>
              <w:right w:val="nil"/>
            </w:tcBorders>
            <w:shd w:val="clear" w:color="auto" w:fill="auto"/>
            <w:noWrap/>
            <w:vAlign w:val="bottom"/>
            <w:hideMark/>
          </w:tcPr>
          <w:p w14:paraId="57F6333B" w14:textId="77777777" w:rsidR="0023141A" w:rsidRPr="00EC1119" w:rsidRDefault="0023141A" w:rsidP="00F53AB3">
            <w:pPr>
              <w:jc w:val="center"/>
              <w:rPr>
                <w:lang w:val="es-CO" w:eastAsia="es-MX"/>
              </w:rPr>
            </w:pPr>
            <w:r w:rsidRPr="00EC1119">
              <w:rPr>
                <w:lang w:val="es-CO" w:eastAsia="es-MX"/>
              </w:rPr>
              <w:t>35.1</w:t>
            </w:r>
          </w:p>
        </w:tc>
        <w:tc>
          <w:tcPr>
            <w:tcW w:w="550" w:type="pct"/>
            <w:tcBorders>
              <w:top w:val="nil"/>
              <w:left w:val="nil"/>
              <w:bottom w:val="single" w:sz="4" w:space="0" w:color="auto"/>
              <w:right w:val="nil"/>
            </w:tcBorders>
            <w:shd w:val="clear" w:color="auto" w:fill="auto"/>
            <w:noWrap/>
            <w:vAlign w:val="bottom"/>
            <w:hideMark/>
          </w:tcPr>
          <w:p w14:paraId="1B183AF9" w14:textId="77777777" w:rsidR="0023141A" w:rsidRPr="00EC1119" w:rsidRDefault="0023141A" w:rsidP="00F53AB3">
            <w:pPr>
              <w:jc w:val="center"/>
              <w:rPr>
                <w:lang w:val="es-CO" w:eastAsia="es-MX"/>
              </w:rPr>
            </w:pPr>
            <w:r w:rsidRPr="00EC1119">
              <w:rPr>
                <w:lang w:val="es-CO" w:eastAsia="es-MX"/>
              </w:rPr>
              <w:t>33.0</w:t>
            </w:r>
          </w:p>
        </w:tc>
        <w:tc>
          <w:tcPr>
            <w:tcW w:w="572" w:type="pct"/>
            <w:tcBorders>
              <w:top w:val="nil"/>
              <w:left w:val="nil"/>
              <w:bottom w:val="single" w:sz="4" w:space="0" w:color="auto"/>
              <w:right w:val="nil"/>
            </w:tcBorders>
            <w:shd w:val="clear" w:color="auto" w:fill="auto"/>
            <w:noWrap/>
            <w:vAlign w:val="bottom"/>
            <w:hideMark/>
          </w:tcPr>
          <w:p w14:paraId="0B9B2273" w14:textId="77777777" w:rsidR="0023141A" w:rsidRPr="00EC1119" w:rsidRDefault="0023141A" w:rsidP="00F53AB3">
            <w:pPr>
              <w:jc w:val="center"/>
              <w:rPr>
                <w:lang w:val="es-CO" w:eastAsia="es-MX"/>
              </w:rPr>
            </w:pPr>
            <w:r w:rsidRPr="00EC1119">
              <w:rPr>
                <w:lang w:val="es-CO" w:eastAsia="es-MX"/>
              </w:rPr>
              <w:t>10.0</w:t>
            </w:r>
          </w:p>
        </w:tc>
        <w:tc>
          <w:tcPr>
            <w:tcW w:w="574" w:type="pct"/>
            <w:tcBorders>
              <w:top w:val="nil"/>
              <w:left w:val="nil"/>
              <w:bottom w:val="single" w:sz="4" w:space="0" w:color="auto"/>
              <w:right w:val="nil"/>
            </w:tcBorders>
            <w:shd w:val="clear" w:color="auto" w:fill="auto"/>
            <w:noWrap/>
            <w:vAlign w:val="bottom"/>
            <w:hideMark/>
          </w:tcPr>
          <w:p w14:paraId="59854DE6" w14:textId="77777777" w:rsidR="0023141A" w:rsidRPr="00EC1119" w:rsidRDefault="0023141A" w:rsidP="00F53AB3">
            <w:pPr>
              <w:jc w:val="center"/>
              <w:rPr>
                <w:lang w:val="es-CO" w:eastAsia="es-MX"/>
              </w:rPr>
            </w:pPr>
            <w:r w:rsidRPr="00EC1119">
              <w:rPr>
                <w:lang w:val="es-CO" w:eastAsia="es-MX"/>
              </w:rPr>
              <w:t>89.0</w:t>
            </w:r>
          </w:p>
        </w:tc>
        <w:tc>
          <w:tcPr>
            <w:tcW w:w="573" w:type="pct"/>
            <w:tcBorders>
              <w:top w:val="nil"/>
              <w:left w:val="nil"/>
              <w:bottom w:val="single" w:sz="4" w:space="0" w:color="auto"/>
              <w:right w:val="nil"/>
            </w:tcBorders>
            <w:shd w:val="clear" w:color="auto" w:fill="auto"/>
            <w:noWrap/>
            <w:vAlign w:val="bottom"/>
            <w:hideMark/>
          </w:tcPr>
          <w:p w14:paraId="6A0A4C44" w14:textId="77777777" w:rsidR="0023141A" w:rsidRPr="00EC1119" w:rsidRDefault="0023141A" w:rsidP="00F53AB3">
            <w:pPr>
              <w:jc w:val="center"/>
              <w:rPr>
                <w:lang w:val="es-CO" w:eastAsia="es-MX"/>
              </w:rPr>
            </w:pPr>
            <w:r w:rsidRPr="00EC1119">
              <w:rPr>
                <w:lang w:val="es-CO" w:eastAsia="es-MX"/>
              </w:rPr>
              <w:t>13.6</w:t>
            </w:r>
          </w:p>
        </w:tc>
        <w:tc>
          <w:tcPr>
            <w:tcW w:w="781" w:type="pct"/>
            <w:tcBorders>
              <w:top w:val="nil"/>
              <w:left w:val="nil"/>
              <w:bottom w:val="single" w:sz="4" w:space="0" w:color="auto"/>
              <w:right w:val="nil"/>
            </w:tcBorders>
            <w:shd w:val="clear" w:color="auto" w:fill="auto"/>
            <w:noWrap/>
            <w:vAlign w:val="bottom"/>
            <w:hideMark/>
          </w:tcPr>
          <w:p w14:paraId="281CB322" w14:textId="77777777" w:rsidR="0023141A" w:rsidRPr="00EC1119" w:rsidRDefault="0023141A" w:rsidP="00F53AB3">
            <w:pPr>
              <w:jc w:val="center"/>
              <w:rPr>
                <w:lang w:val="es-CO" w:eastAsia="es-MX"/>
              </w:rPr>
            </w:pPr>
            <w:r w:rsidRPr="00EC1119">
              <w:rPr>
                <w:lang w:val="es-CO" w:eastAsia="es-MX"/>
              </w:rPr>
              <w:t>39.0</w:t>
            </w:r>
          </w:p>
        </w:tc>
      </w:tr>
      <w:tr w:rsidR="0023141A" w:rsidRPr="00EC1119" w14:paraId="2A19D239" w14:textId="77777777" w:rsidTr="00F53AB3">
        <w:trPr>
          <w:trHeight w:val="320"/>
          <w:jc w:val="center"/>
        </w:trPr>
        <w:tc>
          <w:tcPr>
            <w:tcW w:w="1352" w:type="pct"/>
            <w:tcBorders>
              <w:top w:val="single" w:sz="4" w:space="0" w:color="auto"/>
              <w:left w:val="nil"/>
              <w:bottom w:val="nil"/>
              <w:right w:val="nil"/>
            </w:tcBorders>
            <w:shd w:val="clear" w:color="auto" w:fill="auto"/>
            <w:noWrap/>
            <w:vAlign w:val="bottom"/>
            <w:hideMark/>
          </w:tcPr>
          <w:p w14:paraId="52326CA4" w14:textId="77777777" w:rsidR="0023141A" w:rsidRPr="00EC1119" w:rsidRDefault="0023141A" w:rsidP="00F53AB3">
            <w:pPr>
              <w:jc w:val="center"/>
              <w:rPr>
                <w:lang w:val="es-CO" w:eastAsia="es-MX"/>
              </w:rPr>
            </w:pPr>
          </w:p>
        </w:tc>
        <w:tc>
          <w:tcPr>
            <w:tcW w:w="598" w:type="pct"/>
            <w:tcBorders>
              <w:top w:val="single" w:sz="4" w:space="0" w:color="auto"/>
              <w:left w:val="nil"/>
              <w:bottom w:val="nil"/>
              <w:right w:val="nil"/>
            </w:tcBorders>
            <w:shd w:val="clear" w:color="auto" w:fill="auto"/>
            <w:noWrap/>
            <w:vAlign w:val="bottom"/>
            <w:hideMark/>
          </w:tcPr>
          <w:p w14:paraId="737EB674" w14:textId="77777777" w:rsidR="0023141A" w:rsidRPr="00EC1119" w:rsidRDefault="0023141A" w:rsidP="00F53AB3">
            <w:pPr>
              <w:rPr>
                <w:lang w:val="es-CO" w:eastAsia="es-MX"/>
              </w:rPr>
            </w:pPr>
          </w:p>
        </w:tc>
        <w:tc>
          <w:tcPr>
            <w:tcW w:w="550" w:type="pct"/>
            <w:tcBorders>
              <w:top w:val="single" w:sz="4" w:space="0" w:color="auto"/>
              <w:left w:val="nil"/>
              <w:bottom w:val="nil"/>
              <w:right w:val="nil"/>
            </w:tcBorders>
            <w:shd w:val="clear" w:color="auto" w:fill="auto"/>
            <w:noWrap/>
            <w:vAlign w:val="bottom"/>
            <w:hideMark/>
          </w:tcPr>
          <w:p w14:paraId="5F2A690A" w14:textId="77777777" w:rsidR="0023141A" w:rsidRPr="00EC1119" w:rsidRDefault="0023141A" w:rsidP="00F53AB3">
            <w:pPr>
              <w:rPr>
                <w:lang w:val="es-CO" w:eastAsia="es-MX"/>
              </w:rPr>
            </w:pPr>
          </w:p>
        </w:tc>
        <w:tc>
          <w:tcPr>
            <w:tcW w:w="572" w:type="pct"/>
            <w:tcBorders>
              <w:top w:val="single" w:sz="4" w:space="0" w:color="auto"/>
              <w:left w:val="nil"/>
              <w:bottom w:val="nil"/>
              <w:right w:val="nil"/>
            </w:tcBorders>
            <w:shd w:val="clear" w:color="auto" w:fill="auto"/>
            <w:noWrap/>
            <w:vAlign w:val="bottom"/>
            <w:hideMark/>
          </w:tcPr>
          <w:p w14:paraId="790C89DC" w14:textId="77777777" w:rsidR="0023141A" w:rsidRPr="00EC1119" w:rsidRDefault="0023141A" w:rsidP="00F53AB3">
            <w:pPr>
              <w:rPr>
                <w:lang w:val="es-CO" w:eastAsia="es-MX"/>
              </w:rPr>
            </w:pPr>
          </w:p>
        </w:tc>
        <w:tc>
          <w:tcPr>
            <w:tcW w:w="574" w:type="pct"/>
            <w:tcBorders>
              <w:top w:val="single" w:sz="4" w:space="0" w:color="auto"/>
              <w:left w:val="nil"/>
              <w:bottom w:val="nil"/>
              <w:right w:val="nil"/>
            </w:tcBorders>
            <w:shd w:val="clear" w:color="auto" w:fill="auto"/>
            <w:noWrap/>
            <w:vAlign w:val="bottom"/>
            <w:hideMark/>
          </w:tcPr>
          <w:p w14:paraId="7111A5F8" w14:textId="77777777" w:rsidR="0023141A" w:rsidRPr="00EC1119" w:rsidRDefault="0023141A" w:rsidP="00F53AB3">
            <w:pPr>
              <w:rPr>
                <w:lang w:val="es-CO" w:eastAsia="es-MX"/>
              </w:rPr>
            </w:pPr>
          </w:p>
        </w:tc>
        <w:tc>
          <w:tcPr>
            <w:tcW w:w="573" w:type="pct"/>
            <w:tcBorders>
              <w:top w:val="single" w:sz="4" w:space="0" w:color="auto"/>
              <w:left w:val="nil"/>
              <w:bottom w:val="nil"/>
              <w:right w:val="nil"/>
            </w:tcBorders>
            <w:shd w:val="clear" w:color="auto" w:fill="auto"/>
            <w:noWrap/>
            <w:vAlign w:val="bottom"/>
            <w:hideMark/>
          </w:tcPr>
          <w:p w14:paraId="4D190E68" w14:textId="77777777" w:rsidR="0023141A" w:rsidRPr="00EC1119" w:rsidRDefault="0023141A" w:rsidP="00F53AB3">
            <w:pPr>
              <w:rPr>
                <w:lang w:val="es-CO" w:eastAsia="es-MX"/>
              </w:rPr>
            </w:pPr>
          </w:p>
        </w:tc>
        <w:tc>
          <w:tcPr>
            <w:tcW w:w="781" w:type="pct"/>
            <w:tcBorders>
              <w:top w:val="single" w:sz="4" w:space="0" w:color="auto"/>
              <w:left w:val="nil"/>
              <w:bottom w:val="nil"/>
              <w:right w:val="nil"/>
            </w:tcBorders>
            <w:shd w:val="clear" w:color="auto" w:fill="auto"/>
            <w:noWrap/>
            <w:vAlign w:val="bottom"/>
            <w:hideMark/>
          </w:tcPr>
          <w:p w14:paraId="554A9A99" w14:textId="77777777" w:rsidR="0023141A" w:rsidRPr="00EC1119" w:rsidRDefault="0023141A" w:rsidP="00F53AB3">
            <w:pPr>
              <w:rPr>
                <w:lang w:val="es-CO" w:eastAsia="es-MX"/>
              </w:rPr>
            </w:pPr>
          </w:p>
        </w:tc>
      </w:tr>
    </w:tbl>
    <w:p w14:paraId="3BA2AB1A" w14:textId="77777777" w:rsidR="0023141A" w:rsidRPr="00EC1119" w:rsidRDefault="0023141A" w:rsidP="0023141A">
      <w:pPr>
        <w:jc w:val="both"/>
        <w:rPr>
          <w:sz w:val="24"/>
          <w:szCs w:val="24"/>
          <w:lang w:val="es-ES"/>
        </w:rPr>
      </w:pPr>
    </w:p>
    <w:p w14:paraId="6A8AC87A" w14:textId="77777777" w:rsidR="0023141A" w:rsidRPr="00EC1119" w:rsidRDefault="0023141A" w:rsidP="0023141A">
      <w:pPr>
        <w:jc w:val="both"/>
        <w:rPr>
          <w:sz w:val="24"/>
          <w:szCs w:val="24"/>
          <w:lang w:val="es-CO"/>
        </w:rPr>
      </w:pPr>
      <w:r w:rsidRPr="00EC1119">
        <w:rPr>
          <w:sz w:val="24"/>
          <w:szCs w:val="24"/>
          <w:lang w:val="es-CO"/>
        </w:rPr>
        <w:t xml:space="preserve">La </w:t>
      </w:r>
      <w:r w:rsidRPr="00EC1119">
        <w:rPr>
          <w:b/>
          <w:bCs/>
          <w:sz w:val="24"/>
          <w:szCs w:val="24"/>
          <w:lang w:val="es-CO"/>
        </w:rPr>
        <w:t>Tabla 1</w:t>
      </w:r>
      <w:r w:rsidRPr="00EC1119">
        <w:rPr>
          <w:sz w:val="24"/>
          <w:szCs w:val="24"/>
          <w:lang w:val="es-CO"/>
        </w:rPr>
        <w:t xml:space="preserve"> muestra el resumen de las estadísticas descriptivas de la calidad del aire para varias zonas de Perú en el año 2023, específicamente los niveles de PM2.5, PM10, O3, NO2 y SO2. Los datos reflejan la variabilidad y concentración de estos contaminantes atmosféricos, los cuales tienen implicaciones directas en la salud pública y el medio ambiente.</w:t>
      </w:r>
    </w:p>
    <w:p w14:paraId="6939EDD3" w14:textId="77777777" w:rsidR="0023141A" w:rsidRPr="00EC1119" w:rsidRDefault="0023141A" w:rsidP="0023141A">
      <w:pPr>
        <w:jc w:val="both"/>
        <w:rPr>
          <w:sz w:val="24"/>
          <w:szCs w:val="24"/>
          <w:lang w:val="es-CO"/>
        </w:rPr>
      </w:pPr>
      <w:r w:rsidRPr="00EC1119">
        <w:rPr>
          <w:sz w:val="24"/>
          <w:szCs w:val="24"/>
          <w:lang w:val="es-CO"/>
        </w:rPr>
        <w:t>Para PM2.5, conocido por su capacidad de penetrar profundamente en los pulmones y pasar al torrente sanguíneo, los valores promedio varían entre 61.3 µg/m³ en Campo de Marte y 79.4 µg/m³ en San Juan, Lurigancho, indicando que esta última zona podría estar experimentando niveles más preocupantes de partículas finas. La mediana, cercana al promedio en todos los sitios, sugiere una distribución relativamente simétrica de los datos. Sin embargo, el amplio rango (mínimo y máximo) y el coeficiente de variación destacan la presencia de días con alta contaminación, especialmente en Villa María, Triunfo, donde el coeficiente de variación alcanza el 33%.</w:t>
      </w:r>
    </w:p>
    <w:p w14:paraId="6E659B01" w14:textId="77777777" w:rsidR="0023141A" w:rsidRPr="00EC1119" w:rsidRDefault="0023141A" w:rsidP="0023141A">
      <w:pPr>
        <w:jc w:val="both"/>
        <w:rPr>
          <w:sz w:val="24"/>
          <w:szCs w:val="24"/>
          <w:lang w:val="es-CO"/>
        </w:rPr>
      </w:pPr>
      <w:r w:rsidRPr="00EC1119">
        <w:rPr>
          <w:sz w:val="24"/>
          <w:szCs w:val="24"/>
          <w:lang w:val="es-CO"/>
        </w:rPr>
        <w:t>Para PM10, las concentraciones promedio oscilan entre 28.6 y 44.3 µg/m³, siendo San Juan, Lurigancho la zona con la concentración promedio más alta. El rango de estas partículas es menos variable que el de PM2.5, aunque el sitio de Villa María, Triunfo muestra nuevamente una considerable fluctuación con un coeficiente de variación del 39%.</w:t>
      </w:r>
    </w:p>
    <w:p w14:paraId="4AF87005" w14:textId="77777777" w:rsidR="0023141A" w:rsidRPr="00EC1119" w:rsidRDefault="0023141A" w:rsidP="0023141A">
      <w:pPr>
        <w:jc w:val="both"/>
        <w:rPr>
          <w:sz w:val="24"/>
          <w:szCs w:val="24"/>
          <w:lang w:val="es-CO"/>
        </w:rPr>
      </w:pPr>
    </w:p>
    <w:p w14:paraId="37EE56FE" w14:textId="77777777" w:rsidR="0023141A" w:rsidRPr="0023141A" w:rsidRDefault="0023141A" w:rsidP="0023141A">
      <w:pPr>
        <w:pStyle w:val="Prrafodelista"/>
        <w:numPr>
          <w:ilvl w:val="1"/>
          <w:numId w:val="37"/>
        </w:numPr>
        <w:ind w:left="284" w:hanging="11"/>
        <w:jc w:val="both"/>
        <w:rPr>
          <w:b/>
          <w:bCs/>
          <w:sz w:val="24"/>
          <w:szCs w:val="24"/>
          <w:lang w:val="es-CO"/>
        </w:rPr>
      </w:pPr>
      <w:r w:rsidRPr="0023141A">
        <w:rPr>
          <w:b/>
          <w:bCs/>
          <w:sz w:val="24"/>
          <w:szCs w:val="24"/>
          <w:lang w:val="es-CO"/>
        </w:rPr>
        <w:t xml:space="preserve"> Construcción de datos funcional</w:t>
      </w:r>
    </w:p>
    <w:p w14:paraId="4D8C2CAF" w14:textId="77777777" w:rsidR="0023141A" w:rsidRPr="00EC1119" w:rsidRDefault="0023141A" w:rsidP="0023141A">
      <w:pPr>
        <w:jc w:val="both"/>
        <w:rPr>
          <w:sz w:val="24"/>
          <w:szCs w:val="24"/>
          <w:lang w:val="es-CO"/>
        </w:rPr>
      </w:pPr>
      <w:r w:rsidRPr="00EC1119">
        <w:rPr>
          <w:sz w:val="24"/>
          <w:szCs w:val="24"/>
          <w:lang w:val="es-CO"/>
        </w:rPr>
        <w:t>Para la construcción de los datos funcional se utilizaron los datos del día 1 hasta el día 28 para que todos los meses tuvieran la misma cantidad de datos diarios. Se utilizaron bases B-</w:t>
      </w:r>
      <w:proofErr w:type="spellStart"/>
      <w:r w:rsidRPr="00EC1119">
        <w:rPr>
          <w:sz w:val="24"/>
          <w:szCs w:val="24"/>
          <w:lang w:val="es-CO"/>
        </w:rPr>
        <w:t>Spline</w:t>
      </w:r>
      <w:proofErr w:type="spellEnd"/>
      <w:r w:rsidRPr="00EC1119">
        <w:rPr>
          <w:sz w:val="24"/>
          <w:szCs w:val="24"/>
          <w:lang w:val="es-CO"/>
        </w:rPr>
        <w:t xml:space="preserve"> y validación cruzada generalizada para seleccionar el número óptimo de bases. </w:t>
      </w:r>
    </w:p>
    <w:p w14:paraId="159B0A52" w14:textId="77777777" w:rsidR="0023141A" w:rsidRPr="00EC1119" w:rsidRDefault="0023141A" w:rsidP="0023141A">
      <w:pPr>
        <w:jc w:val="both"/>
        <w:rPr>
          <w:sz w:val="24"/>
          <w:szCs w:val="24"/>
          <w:lang w:val="es-CO"/>
        </w:rPr>
      </w:pPr>
    </w:p>
    <w:p w14:paraId="32580AF5" w14:textId="77777777" w:rsidR="0023141A" w:rsidRPr="00EC1119" w:rsidRDefault="0023141A" w:rsidP="0023141A">
      <w:pPr>
        <w:jc w:val="both"/>
        <w:rPr>
          <w:sz w:val="24"/>
          <w:szCs w:val="24"/>
          <w:lang w:val="es-CO"/>
        </w:rPr>
      </w:pPr>
      <w:r w:rsidRPr="00EC1119">
        <w:rPr>
          <w:b/>
          <w:bCs/>
          <w:sz w:val="24"/>
          <w:szCs w:val="24"/>
          <w:lang w:val="es-CO"/>
        </w:rPr>
        <w:t>Figura 2.</w:t>
      </w:r>
      <w:r w:rsidRPr="00EC1119">
        <w:rPr>
          <w:sz w:val="24"/>
          <w:szCs w:val="24"/>
          <w:lang w:val="es-CO"/>
        </w:rPr>
        <w:t xml:space="preserve"> Datos funcionales de contaminantes atmosféricos.</w:t>
      </w:r>
    </w:p>
    <w:tbl>
      <w:tblPr>
        <w:tblStyle w:val="Tablaconcuadrcula"/>
        <w:tblW w:w="5750" w:type="pct"/>
        <w:jc w:val="center"/>
        <w:tblLook w:val="04A0" w:firstRow="1" w:lastRow="0" w:firstColumn="1" w:lastColumn="0" w:noHBand="0" w:noVBand="1"/>
      </w:tblPr>
      <w:tblGrid>
        <w:gridCol w:w="5016"/>
        <w:gridCol w:w="5016"/>
      </w:tblGrid>
      <w:tr w:rsidR="0023141A" w:rsidRPr="00EC1119" w14:paraId="496A88A2" w14:textId="77777777" w:rsidTr="00F53AB3">
        <w:trPr>
          <w:trHeight w:val="5743"/>
          <w:jc w:val="center"/>
        </w:trPr>
        <w:tc>
          <w:tcPr>
            <w:tcW w:w="2470" w:type="pct"/>
          </w:tcPr>
          <w:p w14:paraId="76A93503" w14:textId="77777777" w:rsidR="0023141A" w:rsidRPr="00EC1119" w:rsidRDefault="0023141A" w:rsidP="0023141A">
            <w:pPr>
              <w:pStyle w:val="Prrafodelista"/>
              <w:numPr>
                <w:ilvl w:val="0"/>
                <w:numId w:val="35"/>
              </w:numPr>
              <w:spacing w:after="0" w:line="240" w:lineRule="auto"/>
              <w:jc w:val="both"/>
              <w:rPr>
                <w:rFonts w:ascii="Times New Roman" w:hAnsi="Times New Roman" w:cs="Times New Roman"/>
                <w:sz w:val="24"/>
                <w:szCs w:val="24"/>
                <w:lang w:val="es-CO"/>
              </w:rPr>
            </w:pPr>
            <w:r w:rsidRPr="00EC1119">
              <w:rPr>
                <w:rFonts w:ascii="Times New Roman" w:hAnsi="Times New Roman" w:cs="Times New Roman"/>
                <w:sz w:val="24"/>
                <w:szCs w:val="24"/>
                <w:lang w:val="es-CO"/>
              </w:rPr>
              <w:lastRenderedPageBreak/>
              <w:t>PM2.5</w:t>
            </w:r>
          </w:p>
          <w:p w14:paraId="5463B664" w14:textId="77777777" w:rsidR="0023141A" w:rsidRPr="00EC1119" w:rsidRDefault="0023141A" w:rsidP="00F53AB3">
            <w:pPr>
              <w:jc w:val="center"/>
              <w:rPr>
                <w:sz w:val="24"/>
                <w:szCs w:val="24"/>
                <w:lang w:val="es-CO"/>
              </w:rPr>
            </w:pPr>
            <w:r w:rsidRPr="00EC1119">
              <w:rPr>
                <w:noProof/>
                <w:sz w:val="24"/>
                <w:szCs w:val="24"/>
                <w:lang w:val="es-CO"/>
              </w:rPr>
              <w:drawing>
                <wp:inline distT="0" distB="0" distL="0" distR="0" wp14:anchorId="2D60D6E5" wp14:editId="7720D1CD">
                  <wp:extent cx="3048000" cy="3048000"/>
                  <wp:effectExtent l="0" t="0" r="0" b="0"/>
                  <wp:docPr id="2081918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1897" name="Imagen 208191897"/>
                          <pic:cNvPicPr/>
                        </pic:nvPicPr>
                        <pic:blipFill>
                          <a:blip r:embed="rId15">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tc>
        <w:tc>
          <w:tcPr>
            <w:tcW w:w="2530" w:type="pct"/>
          </w:tcPr>
          <w:p w14:paraId="1058EF60" w14:textId="77777777" w:rsidR="0023141A" w:rsidRPr="00EC1119" w:rsidRDefault="0023141A" w:rsidP="0023141A">
            <w:pPr>
              <w:pStyle w:val="Prrafodelista"/>
              <w:numPr>
                <w:ilvl w:val="0"/>
                <w:numId w:val="35"/>
              </w:numPr>
              <w:spacing w:after="0" w:line="240" w:lineRule="auto"/>
              <w:jc w:val="both"/>
              <w:rPr>
                <w:rFonts w:ascii="Times New Roman" w:hAnsi="Times New Roman" w:cs="Times New Roman"/>
                <w:sz w:val="24"/>
                <w:szCs w:val="24"/>
                <w:lang w:val="es-CO"/>
              </w:rPr>
            </w:pPr>
            <w:r w:rsidRPr="00EC1119">
              <w:rPr>
                <w:rFonts w:ascii="Times New Roman" w:hAnsi="Times New Roman" w:cs="Times New Roman"/>
                <w:sz w:val="24"/>
                <w:szCs w:val="24"/>
                <w:lang w:val="es-CO"/>
              </w:rPr>
              <w:t>PM10</w:t>
            </w:r>
          </w:p>
          <w:p w14:paraId="3EE3EF92" w14:textId="77777777" w:rsidR="0023141A" w:rsidRPr="00EC1119" w:rsidRDefault="0023141A" w:rsidP="00F53AB3">
            <w:pPr>
              <w:rPr>
                <w:sz w:val="24"/>
                <w:szCs w:val="24"/>
                <w:lang w:val="es-CO"/>
              </w:rPr>
            </w:pPr>
            <w:r w:rsidRPr="00EC1119">
              <w:rPr>
                <w:noProof/>
                <w:sz w:val="24"/>
                <w:szCs w:val="24"/>
                <w:lang w:val="es-CO"/>
              </w:rPr>
              <w:drawing>
                <wp:inline distT="0" distB="0" distL="0" distR="0" wp14:anchorId="411D91AB" wp14:editId="266A320D">
                  <wp:extent cx="3048000" cy="3048000"/>
                  <wp:effectExtent l="0" t="0" r="0" b="0"/>
                  <wp:docPr id="681293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9313" name="Imagen 68129313"/>
                          <pic:cNvPicPr/>
                        </pic:nvPicPr>
                        <pic:blipFill>
                          <a:blip r:embed="rId16">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tc>
      </w:tr>
    </w:tbl>
    <w:p w14:paraId="17088B77" w14:textId="77777777" w:rsidR="0023141A" w:rsidRPr="00EC1119" w:rsidRDefault="0023141A" w:rsidP="0023141A">
      <w:pPr>
        <w:jc w:val="both"/>
        <w:rPr>
          <w:sz w:val="24"/>
          <w:szCs w:val="24"/>
          <w:lang w:val="es-CO"/>
        </w:rPr>
      </w:pPr>
    </w:p>
    <w:p w14:paraId="3DDB1B30" w14:textId="77777777" w:rsidR="0023141A" w:rsidRPr="00EC1119" w:rsidRDefault="0023141A" w:rsidP="0023141A">
      <w:pPr>
        <w:jc w:val="both"/>
        <w:rPr>
          <w:sz w:val="24"/>
          <w:szCs w:val="24"/>
          <w:lang w:val="es-CO"/>
        </w:rPr>
      </w:pPr>
      <w:r w:rsidRPr="00EC1119">
        <w:rPr>
          <w:sz w:val="24"/>
          <w:szCs w:val="24"/>
          <w:lang w:val="es-CO"/>
        </w:rPr>
        <w:t xml:space="preserve">La </w:t>
      </w:r>
      <w:r w:rsidRPr="00EC1119">
        <w:rPr>
          <w:b/>
          <w:bCs/>
          <w:sz w:val="24"/>
          <w:szCs w:val="24"/>
          <w:lang w:val="es-CO"/>
        </w:rPr>
        <w:t>Figura 2</w:t>
      </w:r>
      <w:r w:rsidRPr="00EC1119">
        <w:rPr>
          <w:sz w:val="24"/>
          <w:szCs w:val="24"/>
          <w:lang w:val="es-CO"/>
        </w:rPr>
        <w:t xml:space="preserve"> muestra los datos funcionales para los contaminantes PM2.5 y PM10, reflejados a través de curvas que representan las concentraciones diarias a lo largo del año 2023. Cada curva individual puede corresponder a un mes.</w:t>
      </w:r>
    </w:p>
    <w:p w14:paraId="19AEDACE" w14:textId="77777777" w:rsidR="0023141A" w:rsidRPr="00EC1119" w:rsidRDefault="0023141A" w:rsidP="0023141A">
      <w:pPr>
        <w:jc w:val="both"/>
        <w:rPr>
          <w:sz w:val="24"/>
          <w:szCs w:val="24"/>
          <w:lang w:val="es-CO"/>
        </w:rPr>
      </w:pPr>
      <w:r w:rsidRPr="00EC1119">
        <w:rPr>
          <w:sz w:val="24"/>
          <w:szCs w:val="24"/>
          <w:lang w:val="es-CO"/>
        </w:rPr>
        <w:t>En el gráfico de PM2.5 (</w:t>
      </w:r>
      <w:proofErr w:type="spellStart"/>
      <w:r w:rsidRPr="00EC1119">
        <w:rPr>
          <w:sz w:val="24"/>
          <w:szCs w:val="24"/>
          <w:lang w:val="es-CO"/>
        </w:rPr>
        <w:t>Subfigura</w:t>
      </w:r>
      <w:proofErr w:type="spellEnd"/>
      <w:r w:rsidRPr="00EC1119">
        <w:rPr>
          <w:sz w:val="24"/>
          <w:szCs w:val="24"/>
          <w:lang w:val="es-CO"/>
        </w:rPr>
        <w:t xml:space="preserve"> a), las curvas muestran una considerable fluctuación, con algunos días presentando picos significativamente altos que podrían estar vinculados a eventos específicos que influyen en la calidad del aire, como condiciones climáticas adversas, incendios o incrementos en las emisiones locales. La variabilidad diaria es notable y sugiere una influencia de factores dinámicos sobre las concentraciones de PM2.5.</w:t>
      </w:r>
    </w:p>
    <w:p w14:paraId="640CC68F" w14:textId="77777777" w:rsidR="0023141A" w:rsidRPr="00EC1119" w:rsidRDefault="0023141A" w:rsidP="0023141A">
      <w:pPr>
        <w:jc w:val="both"/>
        <w:rPr>
          <w:sz w:val="24"/>
          <w:szCs w:val="24"/>
          <w:lang w:val="es-CO"/>
        </w:rPr>
      </w:pPr>
      <w:r w:rsidRPr="00EC1119">
        <w:rPr>
          <w:sz w:val="24"/>
          <w:szCs w:val="24"/>
          <w:lang w:val="es-CO"/>
        </w:rPr>
        <w:t>Por su parte, el gráfico de PM10 (</w:t>
      </w:r>
      <w:proofErr w:type="spellStart"/>
      <w:r w:rsidRPr="00EC1119">
        <w:rPr>
          <w:sz w:val="24"/>
          <w:szCs w:val="24"/>
          <w:lang w:val="es-CO"/>
        </w:rPr>
        <w:t>Subfigura</w:t>
      </w:r>
      <w:proofErr w:type="spellEnd"/>
      <w:r w:rsidRPr="00EC1119">
        <w:rPr>
          <w:sz w:val="24"/>
          <w:szCs w:val="24"/>
          <w:lang w:val="es-CO"/>
        </w:rPr>
        <w:t xml:space="preserve"> b) también exhibe variabilidad, pero parece tener menos fluctuaciones extremas en comparación con PM2.5. A pesar de esto, hay días en los que las concentraciones alcanzan valores máximos similares a los de PM2.5, lo que indica episodios de alta contaminación que afectan tanto a partículas finas como más gruesas.</w:t>
      </w:r>
    </w:p>
    <w:p w14:paraId="592A3EDA" w14:textId="77777777" w:rsidR="0023141A" w:rsidRPr="00EC1119" w:rsidRDefault="0023141A" w:rsidP="0023141A">
      <w:pPr>
        <w:jc w:val="both"/>
        <w:rPr>
          <w:sz w:val="24"/>
          <w:szCs w:val="24"/>
          <w:lang w:val="es-CO"/>
        </w:rPr>
      </w:pPr>
      <w:r w:rsidRPr="00EC1119">
        <w:rPr>
          <w:sz w:val="24"/>
          <w:szCs w:val="24"/>
          <w:lang w:val="es-CO"/>
        </w:rPr>
        <w:t>Ambos gráficos ilustran que los niveles de contaminantes no son constantes y refuerzan la importancia de considerar la variabilidad temporal al evaluar la exposición a la contaminación atmosférica. La interpretación de estos datos funcionales es crucial para entender el comportamiento de los contaminantes en el aire y puede informar las estrategias de mitigación y políticas de salud pública para abordar la calidad del aire en entornos urbanos y reducir los efectos adversos de la contaminación en la población.</w:t>
      </w:r>
    </w:p>
    <w:p w14:paraId="44BA2868" w14:textId="77777777" w:rsidR="0023141A" w:rsidRPr="00EC1119" w:rsidRDefault="0023141A" w:rsidP="0023141A">
      <w:pPr>
        <w:jc w:val="both"/>
        <w:rPr>
          <w:vanish/>
          <w:sz w:val="24"/>
          <w:szCs w:val="24"/>
          <w:lang w:val="es-CO"/>
        </w:rPr>
      </w:pPr>
      <w:r w:rsidRPr="00EC1119">
        <w:rPr>
          <w:vanish/>
          <w:sz w:val="24"/>
          <w:szCs w:val="24"/>
          <w:lang w:val="es-CO"/>
        </w:rPr>
        <w:t>Principio del formulario</w:t>
      </w:r>
    </w:p>
    <w:p w14:paraId="34ACF73F" w14:textId="77777777" w:rsidR="0023141A" w:rsidRPr="00EC1119" w:rsidRDefault="0023141A" w:rsidP="0023141A">
      <w:pPr>
        <w:jc w:val="both"/>
        <w:rPr>
          <w:sz w:val="24"/>
          <w:szCs w:val="24"/>
          <w:lang w:val="es-CO"/>
        </w:rPr>
      </w:pPr>
    </w:p>
    <w:p w14:paraId="6A960114" w14:textId="360E8D68" w:rsidR="0023141A" w:rsidRPr="0023141A" w:rsidRDefault="0023141A" w:rsidP="0023141A">
      <w:pPr>
        <w:pStyle w:val="Prrafodelista"/>
        <w:numPr>
          <w:ilvl w:val="1"/>
          <w:numId w:val="37"/>
        </w:numPr>
        <w:ind w:left="284" w:hanging="11"/>
        <w:jc w:val="both"/>
        <w:rPr>
          <w:b/>
          <w:bCs/>
          <w:sz w:val="24"/>
          <w:szCs w:val="24"/>
          <w:lang w:val="es-CO"/>
        </w:rPr>
      </w:pPr>
      <w:r w:rsidRPr="0023141A">
        <w:rPr>
          <w:b/>
          <w:bCs/>
          <w:sz w:val="24"/>
          <w:szCs w:val="24"/>
          <w:lang w:val="es-CO"/>
        </w:rPr>
        <w:t xml:space="preserve">Modelo de regresión </w:t>
      </w:r>
      <w:proofErr w:type="spellStart"/>
      <w:r w:rsidRPr="0023141A">
        <w:rPr>
          <w:b/>
          <w:bCs/>
          <w:sz w:val="24"/>
          <w:szCs w:val="24"/>
          <w:lang w:val="es-CO"/>
        </w:rPr>
        <w:t>funcionalFinal</w:t>
      </w:r>
      <w:proofErr w:type="spellEnd"/>
      <w:r w:rsidRPr="0023141A">
        <w:rPr>
          <w:b/>
          <w:bCs/>
          <w:sz w:val="24"/>
          <w:szCs w:val="24"/>
          <w:lang w:val="es-CO"/>
        </w:rPr>
        <w:t xml:space="preserve"> del formulario</w:t>
      </w:r>
    </w:p>
    <w:p w14:paraId="17B44A43" w14:textId="77777777" w:rsidR="0023141A" w:rsidRPr="00EC1119" w:rsidRDefault="0023141A" w:rsidP="0023141A">
      <w:pPr>
        <w:jc w:val="both"/>
        <w:rPr>
          <w:sz w:val="24"/>
          <w:szCs w:val="24"/>
          <w:lang w:val="es-CO"/>
        </w:rPr>
      </w:pPr>
      <w:r w:rsidRPr="00EC1119">
        <w:rPr>
          <w:sz w:val="24"/>
          <w:szCs w:val="24"/>
          <w:lang w:val="es-CO"/>
        </w:rPr>
        <w:t>Para evaluar el aporte del PM10 en el ajuste del PM2.5. Se ajustó un modelo de regresión funcional concurrente. A continuación, se expresa el modelo previamente descrito:</w:t>
      </w:r>
    </w:p>
    <w:p w14:paraId="7A91B8B0" w14:textId="77777777" w:rsidR="0023141A" w:rsidRPr="00EC1119" w:rsidRDefault="0023141A" w:rsidP="0023141A">
      <w:pPr>
        <w:jc w:val="both"/>
        <w:rPr>
          <w:sz w:val="24"/>
          <w:szCs w:val="24"/>
          <w:lang w:val="es-CO"/>
        </w:rPr>
      </w:pPr>
    </w:p>
    <w:p w14:paraId="43673BA9" w14:textId="77777777" w:rsidR="0023141A" w:rsidRPr="00EC1119" w:rsidRDefault="0023141A" w:rsidP="0023141A">
      <w:pPr>
        <w:jc w:val="both"/>
        <w:rPr>
          <w:rFonts w:eastAsiaTheme="minorEastAsia"/>
          <w:sz w:val="24"/>
          <w:szCs w:val="24"/>
          <w:lang w:val="es-CO"/>
        </w:rPr>
      </w:pPr>
      <m:oMathPara>
        <m:oMath>
          <m:sSub>
            <m:sSubPr>
              <m:ctrlPr>
                <w:rPr>
                  <w:rFonts w:ascii="Cambria Math" w:hAnsi="Cambria Math"/>
                  <w:sz w:val="24"/>
                  <w:szCs w:val="24"/>
                  <w:lang w:val="es-CO"/>
                </w:rPr>
              </m:ctrlPr>
            </m:sSubPr>
            <m:e>
              <m:r>
                <w:rPr>
                  <w:rFonts w:ascii="Cambria Math" w:hAnsi="Cambria Math"/>
                  <w:sz w:val="24"/>
                  <w:szCs w:val="24"/>
                  <w:lang w:val="es-CO"/>
                </w:rPr>
                <m:t>PM</m:t>
              </m:r>
              <m:r>
                <m:rPr>
                  <m:sty m:val="p"/>
                </m:rPr>
                <w:rPr>
                  <w:rFonts w:ascii="Cambria Math" w:hAnsi="Cambria Math"/>
                  <w:sz w:val="24"/>
                  <w:szCs w:val="24"/>
                  <w:lang w:val="es-CO"/>
                </w:rPr>
                <m:t>2.5</m:t>
              </m:r>
            </m:e>
            <m:sub>
              <m:r>
                <w:rPr>
                  <w:rFonts w:ascii="Cambria Math" w:hAnsi="Cambria Math"/>
                  <w:sz w:val="24"/>
                  <w:szCs w:val="24"/>
                  <w:lang w:val="es-CO"/>
                </w:rPr>
                <m:t>i</m:t>
              </m:r>
            </m:sub>
          </m:sSub>
          <m:d>
            <m:dPr>
              <m:ctrlPr>
                <w:rPr>
                  <w:rFonts w:ascii="Cambria Math" w:hAnsi="Cambria Math"/>
                  <w:sz w:val="24"/>
                  <w:szCs w:val="24"/>
                  <w:lang w:val="es-CO"/>
                </w:rPr>
              </m:ctrlPr>
            </m:dPr>
            <m:e>
              <m:r>
                <w:rPr>
                  <w:rFonts w:ascii="Cambria Math" w:hAnsi="Cambria Math"/>
                  <w:sz w:val="24"/>
                  <w:szCs w:val="24"/>
                  <w:lang w:val="es-CO"/>
                </w:rPr>
                <m:t>t</m:t>
              </m:r>
            </m:e>
          </m:d>
          <m:r>
            <m:rPr>
              <m:sty m:val="p"/>
            </m:rPr>
            <w:rPr>
              <w:rFonts w:ascii="Cambria Math" w:hAnsi="Cambria Math"/>
              <w:sz w:val="24"/>
              <w:szCs w:val="24"/>
              <w:lang w:val="es-CO"/>
            </w:rPr>
            <m:t xml:space="preserve">= </m:t>
          </m:r>
          <m:sSub>
            <m:sSubPr>
              <m:ctrlPr>
                <w:rPr>
                  <w:rFonts w:ascii="Cambria Math" w:hAnsi="Cambria Math"/>
                  <w:sz w:val="24"/>
                  <w:szCs w:val="24"/>
                  <w:lang w:val="es-CO"/>
                </w:rPr>
              </m:ctrlPr>
            </m:sSubPr>
            <m:e>
              <m:r>
                <w:rPr>
                  <w:rFonts w:ascii="Cambria Math" w:hAnsi="Cambria Math"/>
                  <w:sz w:val="24"/>
                  <w:szCs w:val="24"/>
                  <w:lang w:val="es-CO"/>
                </w:rPr>
                <m:t>β</m:t>
              </m:r>
            </m:e>
            <m:sub>
              <m:r>
                <m:rPr>
                  <m:sty m:val="p"/>
                </m:rPr>
                <w:rPr>
                  <w:rFonts w:ascii="Cambria Math" w:hAnsi="Cambria Math"/>
                  <w:sz w:val="24"/>
                  <w:szCs w:val="24"/>
                  <w:lang w:val="es-CO"/>
                </w:rPr>
                <m:t>0</m:t>
              </m:r>
            </m:sub>
          </m:sSub>
          <m:d>
            <m:dPr>
              <m:ctrlPr>
                <w:rPr>
                  <w:rFonts w:ascii="Cambria Math" w:hAnsi="Cambria Math"/>
                  <w:sz w:val="24"/>
                  <w:szCs w:val="24"/>
                  <w:lang w:val="es-CO"/>
                </w:rPr>
              </m:ctrlPr>
            </m:dPr>
            <m:e>
              <m:r>
                <w:rPr>
                  <w:rFonts w:ascii="Cambria Math" w:hAnsi="Cambria Math"/>
                  <w:sz w:val="24"/>
                  <w:szCs w:val="24"/>
                  <w:lang w:val="es-CO"/>
                </w:rPr>
                <m:t>t</m:t>
              </m:r>
            </m:e>
          </m:d>
          <m:r>
            <m:rPr>
              <m:sty m:val="p"/>
            </m:rPr>
            <w:rPr>
              <w:rFonts w:ascii="Cambria Math" w:hAnsi="Cambria Math"/>
              <w:sz w:val="24"/>
              <w:szCs w:val="24"/>
              <w:lang w:val="es-CO"/>
            </w:rPr>
            <m:t>+</m:t>
          </m:r>
          <m:sSub>
            <m:sSubPr>
              <m:ctrlPr>
                <w:rPr>
                  <w:rFonts w:ascii="Cambria Math" w:hAnsi="Cambria Math"/>
                  <w:sz w:val="24"/>
                  <w:szCs w:val="24"/>
                  <w:lang w:val="es-CO"/>
                </w:rPr>
              </m:ctrlPr>
            </m:sSubPr>
            <m:e>
              <m:r>
                <w:rPr>
                  <w:rFonts w:ascii="Cambria Math" w:hAnsi="Cambria Math"/>
                  <w:sz w:val="24"/>
                  <w:szCs w:val="24"/>
                  <w:lang w:val="es-CO"/>
                </w:rPr>
                <m:t>β</m:t>
              </m:r>
            </m:e>
            <m:sub>
              <m:r>
                <m:rPr>
                  <m:sty m:val="p"/>
                </m:rPr>
                <w:rPr>
                  <w:rFonts w:ascii="Cambria Math" w:hAnsi="Cambria Math"/>
                  <w:sz w:val="24"/>
                  <w:szCs w:val="24"/>
                  <w:lang w:val="es-CO"/>
                </w:rPr>
                <m:t>1</m:t>
              </m:r>
            </m:sub>
          </m:sSub>
          <m:d>
            <m:dPr>
              <m:ctrlPr>
                <w:rPr>
                  <w:rFonts w:ascii="Cambria Math" w:hAnsi="Cambria Math"/>
                  <w:sz w:val="24"/>
                  <w:szCs w:val="24"/>
                  <w:lang w:val="es-CO"/>
                </w:rPr>
              </m:ctrlPr>
            </m:dPr>
            <m:e>
              <m:r>
                <w:rPr>
                  <w:rFonts w:ascii="Cambria Math" w:hAnsi="Cambria Math"/>
                  <w:sz w:val="24"/>
                  <w:szCs w:val="24"/>
                  <w:lang w:val="es-CO"/>
                </w:rPr>
                <m:t>t</m:t>
              </m:r>
            </m:e>
          </m:d>
          <m:sSub>
            <m:sSubPr>
              <m:ctrlPr>
                <w:rPr>
                  <w:rFonts w:ascii="Cambria Math" w:hAnsi="Cambria Math"/>
                  <w:sz w:val="24"/>
                  <w:szCs w:val="24"/>
                  <w:lang w:val="es-CO"/>
                </w:rPr>
              </m:ctrlPr>
            </m:sSubPr>
            <m:e>
              <m:r>
                <w:rPr>
                  <w:rFonts w:ascii="Cambria Math" w:hAnsi="Cambria Math"/>
                  <w:sz w:val="24"/>
                  <w:szCs w:val="24"/>
                  <w:lang w:val="es-CO"/>
                </w:rPr>
                <m:t>PM</m:t>
              </m:r>
              <m:r>
                <m:rPr>
                  <m:sty m:val="p"/>
                </m:rPr>
                <w:rPr>
                  <w:rFonts w:ascii="Cambria Math" w:hAnsi="Cambria Math"/>
                  <w:sz w:val="24"/>
                  <w:szCs w:val="24"/>
                  <w:lang w:val="es-CO"/>
                </w:rPr>
                <m:t>10</m:t>
              </m:r>
            </m:e>
            <m:sub>
              <m:r>
                <w:rPr>
                  <w:rFonts w:ascii="Cambria Math" w:hAnsi="Cambria Math"/>
                  <w:sz w:val="24"/>
                  <w:szCs w:val="24"/>
                  <w:lang w:val="es-CO"/>
                </w:rPr>
                <m:t>i</m:t>
              </m:r>
            </m:sub>
          </m:sSub>
          <m:d>
            <m:dPr>
              <m:ctrlPr>
                <w:rPr>
                  <w:rFonts w:ascii="Cambria Math" w:hAnsi="Cambria Math"/>
                  <w:sz w:val="24"/>
                  <w:szCs w:val="24"/>
                  <w:lang w:val="es-CO"/>
                </w:rPr>
              </m:ctrlPr>
            </m:dPr>
            <m:e>
              <m:r>
                <w:rPr>
                  <w:rFonts w:ascii="Cambria Math" w:hAnsi="Cambria Math"/>
                  <w:sz w:val="24"/>
                  <w:szCs w:val="24"/>
                  <w:lang w:val="es-CO"/>
                </w:rPr>
                <m:t>t</m:t>
              </m:r>
            </m:e>
          </m:d>
          <m:r>
            <m:rPr>
              <m:sty m:val="p"/>
            </m:rPr>
            <w:rPr>
              <w:rFonts w:ascii="Cambria Math" w:hAnsi="Cambria Math"/>
              <w:sz w:val="24"/>
              <w:szCs w:val="24"/>
              <w:lang w:val="es-CO"/>
            </w:rPr>
            <m:t xml:space="preserve">+ </m:t>
          </m:r>
          <m:sSub>
            <m:sSubPr>
              <m:ctrlPr>
                <w:rPr>
                  <w:rFonts w:ascii="Cambria Math" w:hAnsi="Cambria Math"/>
                  <w:sz w:val="24"/>
                  <w:szCs w:val="24"/>
                  <w:lang w:val="es-CO"/>
                </w:rPr>
              </m:ctrlPr>
            </m:sSubPr>
            <m:e>
              <m:r>
                <w:rPr>
                  <w:rFonts w:ascii="Cambria Math" w:hAnsi="Cambria Math"/>
                  <w:sz w:val="24"/>
                  <w:szCs w:val="24"/>
                  <w:lang w:val="es-CO"/>
                </w:rPr>
                <m:t>ϵ</m:t>
              </m:r>
              <m:r>
                <m:rPr>
                  <m:sty m:val="p"/>
                </m:rPr>
                <w:rPr>
                  <w:rFonts w:ascii="Cambria Math" w:hAnsi="Cambria Math"/>
                  <w:sz w:val="24"/>
                  <w:szCs w:val="24"/>
                  <w:lang w:val="es-CO"/>
                </w:rPr>
                <m:t>(</m:t>
              </m:r>
              <m:r>
                <w:rPr>
                  <w:rFonts w:ascii="Cambria Math" w:hAnsi="Cambria Math"/>
                  <w:sz w:val="24"/>
                  <w:szCs w:val="24"/>
                  <w:lang w:val="es-CO"/>
                </w:rPr>
                <m:t>t</m:t>
              </m:r>
              <m:r>
                <m:rPr>
                  <m:sty m:val="p"/>
                </m:rPr>
                <w:rPr>
                  <w:rFonts w:ascii="Cambria Math" w:hAnsi="Cambria Math"/>
                  <w:sz w:val="24"/>
                  <w:szCs w:val="24"/>
                  <w:lang w:val="es-CO"/>
                </w:rPr>
                <m:t>)</m:t>
              </m:r>
            </m:e>
            <m:sub>
              <m:r>
                <w:rPr>
                  <w:rFonts w:ascii="Cambria Math" w:hAnsi="Cambria Math"/>
                  <w:sz w:val="24"/>
                  <w:szCs w:val="24"/>
                  <w:lang w:val="es-CO"/>
                </w:rPr>
                <m:t>i</m:t>
              </m:r>
            </m:sub>
          </m:sSub>
          <m:r>
            <m:rPr>
              <m:sty m:val="p"/>
            </m:rPr>
            <w:rPr>
              <w:rFonts w:ascii="Cambria Math" w:hAnsi="Cambria Math"/>
              <w:sz w:val="24"/>
              <w:szCs w:val="24"/>
              <w:lang w:val="es-CO"/>
            </w:rPr>
            <m:t xml:space="preserve"> </m:t>
          </m:r>
        </m:oMath>
      </m:oMathPara>
    </w:p>
    <w:p w14:paraId="6A68A8D2" w14:textId="77777777" w:rsidR="0023141A" w:rsidRPr="00EC1119" w:rsidRDefault="0023141A" w:rsidP="0023141A">
      <w:pPr>
        <w:jc w:val="both"/>
        <w:rPr>
          <w:sz w:val="24"/>
          <w:szCs w:val="24"/>
          <w:lang w:val="es-CO"/>
        </w:rPr>
      </w:pPr>
    </w:p>
    <w:p w14:paraId="4C2165BE" w14:textId="77777777" w:rsidR="0023141A" w:rsidRPr="00EC1119" w:rsidRDefault="0023141A" w:rsidP="0023141A">
      <w:pPr>
        <w:jc w:val="both"/>
        <w:rPr>
          <w:sz w:val="24"/>
          <w:szCs w:val="24"/>
          <w:lang w:val="es-CO"/>
        </w:rPr>
      </w:pPr>
      <w:r w:rsidRPr="00EC1119">
        <w:rPr>
          <w:sz w:val="24"/>
          <w:szCs w:val="24"/>
          <w:lang w:val="es-CO"/>
        </w:rPr>
        <w:t xml:space="preserve">donde, </w:t>
      </w:r>
      <m:oMath>
        <m:sSub>
          <m:sSubPr>
            <m:ctrlPr>
              <w:rPr>
                <w:rFonts w:ascii="Cambria Math" w:hAnsi="Cambria Math"/>
                <w:sz w:val="24"/>
                <w:szCs w:val="24"/>
                <w:lang w:val="es-CO"/>
              </w:rPr>
            </m:ctrlPr>
          </m:sSubPr>
          <m:e>
            <m:r>
              <w:rPr>
                <w:rFonts w:ascii="Cambria Math" w:hAnsi="Cambria Math"/>
                <w:sz w:val="24"/>
                <w:szCs w:val="24"/>
                <w:lang w:val="es-CO"/>
              </w:rPr>
              <m:t>PM</m:t>
            </m:r>
            <m:r>
              <m:rPr>
                <m:sty m:val="p"/>
              </m:rPr>
              <w:rPr>
                <w:rFonts w:ascii="Cambria Math" w:hAnsi="Cambria Math"/>
                <w:sz w:val="24"/>
                <w:szCs w:val="24"/>
                <w:lang w:val="es-CO"/>
              </w:rPr>
              <m:t>2.5</m:t>
            </m:r>
          </m:e>
          <m:sub>
            <m:r>
              <w:rPr>
                <w:rFonts w:ascii="Cambria Math" w:hAnsi="Cambria Math"/>
                <w:sz w:val="24"/>
                <w:szCs w:val="24"/>
                <w:lang w:val="es-CO"/>
              </w:rPr>
              <m:t>i</m:t>
            </m:r>
          </m:sub>
        </m:sSub>
        <m:d>
          <m:dPr>
            <m:ctrlPr>
              <w:rPr>
                <w:rFonts w:ascii="Cambria Math" w:hAnsi="Cambria Math"/>
                <w:sz w:val="24"/>
                <w:szCs w:val="24"/>
                <w:lang w:val="es-CO"/>
              </w:rPr>
            </m:ctrlPr>
          </m:dPr>
          <m:e>
            <m:r>
              <w:rPr>
                <w:rFonts w:ascii="Cambria Math" w:hAnsi="Cambria Math"/>
                <w:sz w:val="24"/>
                <w:szCs w:val="24"/>
                <w:lang w:val="es-CO"/>
              </w:rPr>
              <m:t>t</m:t>
            </m:r>
          </m:e>
        </m:d>
      </m:oMath>
      <w:r w:rsidRPr="00EC1119">
        <w:rPr>
          <w:sz w:val="24"/>
          <w:szCs w:val="24"/>
          <w:lang w:val="es-CO"/>
        </w:rPr>
        <w:t xml:space="preserve"> es la variable respuesta funcional que corresponde a los datos</w:t>
      </w:r>
    </w:p>
    <w:p w14:paraId="3849019E" w14:textId="77777777" w:rsidR="0023141A" w:rsidRPr="00EC1119" w:rsidRDefault="0023141A" w:rsidP="0023141A">
      <w:pPr>
        <w:jc w:val="both"/>
        <w:rPr>
          <w:sz w:val="24"/>
          <w:szCs w:val="24"/>
          <w:lang w:val="es-CO"/>
        </w:rPr>
      </w:pPr>
      <w:r w:rsidRPr="00EC1119">
        <w:rPr>
          <w:sz w:val="24"/>
          <w:szCs w:val="24"/>
          <w:lang w:val="es-CO"/>
        </w:rPr>
        <w:lastRenderedPageBreak/>
        <w:t xml:space="preserve">funcionales de PM2.5, </w:t>
      </w:r>
      <m:oMath>
        <m:sSub>
          <m:sSubPr>
            <m:ctrlPr>
              <w:rPr>
                <w:rFonts w:ascii="Cambria Math" w:hAnsi="Cambria Math"/>
                <w:sz w:val="24"/>
                <w:szCs w:val="24"/>
                <w:lang w:val="es-CO"/>
              </w:rPr>
            </m:ctrlPr>
          </m:sSubPr>
          <m:e>
            <m:r>
              <w:rPr>
                <w:rFonts w:ascii="Cambria Math" w:hAnsi="Cambria Math"/>
                <w:sz w:val="24"/>
                <w:szCs w:val="24"/>
                <w:lang w:val="es-CO"/>
              </w:rPr>
              <m:t>PM</m:t>
            </m:r>
            <m:r>
              <m:rPr>
                <m:sty m:val="p"/>
              </m:rPr>
              <w:rPr>
                <w:rFonts w:ascii="Cambria Math" w:hAnsi="Cambria Math"/>
                <w:sz w:val="24"/>
                <w:szCs w:val="24"/>
                <w:lang w:val="es-CO"/>
              </w:rPr>
              <m:t>10</m:t>
            </m:r>
          </m:e>
          <m:sub>
            <m:r>
              <w:rPr>
                <w:rFonts w:ascii="Cambria Math" w:hAnsi="Cambria Math"/>
                <w:sz w:val="24"/>
                <w:szCs w:val="24"/>
                <w:lang w:val="es-CO"/>
              </w:rPr>
              <m:t>i</m:t>
            </m:r>
          </m:sub>
        </m:sSub>
        <m:d>
          <m:dPr>
            <m:ctrlPr>
              <w:rPr>
                <w:rFonts w:ascii="Cambria Math" w:hAnsi="Cambria Math"/>
                <w:sz w:val="24"/>
                <w:szCs w:val="24"/>
                <w:lang w:val="es-CO"/>
              </w:rPr>
            </m:ctrlPr>
          </m:dPr>
          <m:e>
            <m:r>
              <w:rPr>
                <w:rFonts w:ascii="Cambria Math" w:hAnsi="Cambria Math"/>
                <w:sz w:val="24"/>
                <w:szCs w:val="24"/>
                <w:lang w:val="es-CO"/>
              </w:rPr>
              <m:t>t</m:t>
            </m:r>
          </m:e>
        </m:d>
      </m:oMath>
      <w:r w:rsidRPr="00EC1119">
        <w:rPr>
          <w:sz w:val="24"/>
          <w:szCs w:val="24"/>
          <w:lang w:val="es-CO"/>
        </w:rPr>
        <w:t xml:space="preserve"> es la variable explicativa funcional que corresponde a los datos funcionales PM10  </w:t>
      </w:r>
      <m:oMath>
        <m:sSub>
          <m:sSubPr>
            <m:ctrlPr>
              <w:rPr>
                <w:rFonts w:ascii="Cambria Math" w:hAnsi="Cambria Math"/>
                <w:sz w:val="24"/>
                <w:szCs w:val="24"/>
                <w:lang w:val="es-CO"/>
              </w:rPr>
            </m:ctrlPr>
          </m:sSubPr>
          <m:e>
            <m:r>
              <w:rPr>
                <w:rFonts w:ascii="Cambria Math" w:hAnsi="Cambria Math"/>
                <w:sz w:val="24"/>
                <w:szCs w:val="24"/>
                <w:lang w:val="es-CO"/>
              </w:rPr>
              <m:t>ϵ</m:t>
            </m:r>
            <m:r>
              <m:rPr>
                <m:sty m:val="p"/>
              </m:rPr>
              <w:rPr>
                <w:rFonts w:ascii="Cambria Math" w:hAnsi="Cambria Math"/>
                <w:sz w:val="24"/>
                <w:szCs w:val="24"/>
                <w:lang w:val="es-CO"/>
              </w:rPr>
              <m:t>(</m:t>
            </m:r>
            <m:r>
              <w:rPr>
                <w:rFonts w:ascii="Cambria Math" w:hAnsi="Cambria Math"/>
                <w:sz w:val="24"/>
                <w:szCs w:val="24"/>
                <w:lang w:val="es-CO"/>
              </w:rPr>
              <m:t>t</m:t>
            </m:r>
            <m:r>
              <m:rPr>
                <m:sty m:val="p"/>
              </m:rPr>
              <w:rPr>
                <w:rFonts w:ascii="Cambria Math" w:hAnsi="Cambria Math"/>
                <w:sz w:val="24"/>
                <w:szCs w:val="24"/>
                <w:lang w:val="es-CO"/>
              </w:rPr>
              <m:t>)</m:t>
            </m:r>
          </m:e>
          <m:sub>
            <m:r>
              <w:rPr>
                <w:rFonts w:ascii="Cambria Math" w:hAnsi="Cambria Math"/>
                <w:sz w:val="24"/>
                <w:szCs w:val="24"/>
                <w:lang w:val="es-CO"/>
              </w:rPr>
              <m:t>i</m:t>
            </m:r>
          </m:sub>
        </m:sSub>
      </m:oMath>
      <w:r w:rsidRPr="00EC1119">
        <w:rPr>
          <w:rFonts w:eastAsiaTheme="minorEastAsia"/>
          <w:sz w:val="24"/>
          <w:szCs w:val="24"/>
          <w:lang w:val="es-CO"/>
        </w:rPr>
        <w:t xml:space="preserve"> </w:t>
      </w:r>
      <w:r w:rsidRPr="00EC1119">
        <w:rPr>
          <w:sz w:val="24"/>
          <w:szCs w:val="24"/>
          <w:lang w:val="es-CO"/>
        </w:rPr>
        <w:t xml:space="preserve">es la componente aleatoria del modelo correspondiente al error funcional, i = 1, 2, </w:t>
      </w:r>
      <w:proofErr w:type="gramStart"/>
      <w:r w:rsidRPr="00EC1119">
        <w:rPr>
          <w:sz w:val="24"/>
          <w:szCs w:val="24"/>
          <w:lang w:val="es-CO"/>
        </w:rPr>
        <w:t>. . . ,</w:t>
      </w:r>
      <w:proofErr w:type="gramEnd"/>
      <w:r w:rsidRPr="00EC1119">
        <w:rPr>
          <w:sz w:val="24"/>
          <w:szCs w:val="24"/>
          <w:lang w:val="es-CO"/>
        </w:rPr>
        <w:t xml:space="preserve"> 12 correspondiente a 12 meses y </w:t>
      </w:r>
      <m:oMath>
        <m:r>
          <w:rPr>
            <w:rFonts w:ascii="Cambria Math" w:hAnsi="Cambria Math"/>
            <w:sz w:val="24"/>
            <w:szCs w:val="24"/>
            <w:lang w:val="es-CO"/>
          </w:rPr>
          <m:t>t</m:t>
        </m:r>
      </m:oMath>
      <w:r w:rsidRPr="00EC1119">
        <w:rPr>
          <w:sz w:val="24"/>
          <w:szCs w:val="24"/>
          <w:lang w:val="es-CO"/>
        </w:rPr>
        <w:t xml:space="preserve"> representa el tiempo en días  que está en un rango 28 días.</w:t>
      </w:r>
    </w:p>
    <w:p w14:paraId="63CFCAD6" w14:textId="77777777" w:rsidR="0023141A" w:rsidRPr="00EC1119" w:rsidRDefault="0023141A" w:rsidP="0023141A">
      <w:pPr>
        <w:jc w:val="both"/>
        <w:rPr>
          <w:sz w:val="24"/>
          <w:szCs w:val="24"/>
          <w:lang w:val="es-CO"/>
        </w:rPr>
      </w:pPr>
    </w:p>
    <w:tbl>
      <w:tblPr>
        <w:tblStyle w:val="Tablaconcuadrcula"/>
        <w:tblW w:w="5750" w:type="pct"/>
        <w:jc w:val="center"/>
        <w:tblLook w:val="04A0" w:firstRow="1" w:lastRow="0" w:firstColumn="1" w:lastColumn="0" w:noHBand="0" w:noVBand="1"/>
      </w:tblPr>
      <w:tblGrid>
        <w:gridCol w:w="5016"/>
        <w:gridCol w:w="5016"/>
      </w:tblGrid>
      <w:tr w:rsidR="0023141A" w:rsidRPr="00EC1119" w14:paraId="2F7A7432" w14:textId="77777777" w:rsidTr="00F53AB3">
        <w:trPr>
          <w:trHeight w:val="5743"/>
          <w:jc w:val="center"/>
        </w:trPr>
        <w:tc>
          <w:tcPr>
            <w:tcW w:w="2470" w:type="pct"/>
          </w:tcPr>
          <w:p w14:paraId="35A555AD" w14:textId="77777777" w:rsidR="0023141A" w:rsidRPr="00EC1119" w:rsidRDefault="0023141A" w:rsidP="0023141A">
            <w:pPr>
              <w:pStyle w:val="Prrafodelista"/>
              <w:numPr>
                <w:ilvl w:val="0"/>
                <w:numId w:val="36"/>
              </w:numPr>
              <w:spacing w:after="0" w:line="240" w:lineRule="auto"/>
              <w:jc w:val="both"/>
              <w:rPr>
                <w:rFonts w:ascii="Times New Roman" w:hAnsi="Times New Roman" w:cs="Times New Roman"/>
                <w:sz w:val="24"/>
                <w:szCs w:val="24"/>
                <w:lang w:val="es-CO"/>
              </w:rPr>
            </w:pPr>
            <w:r w:rsidRPr="00EC1119">
              <w:rPr>
                <w:rFonts w:ascii="Times New Roman" w:hAnsi="Times New Roman" w:cs="Times New Roman"/>
                <w:sz w:val="24"/>
                <w:szCs w:val="24"/>
                <w:lang w:val="es-CO"/>
              </w:rPr>
              <w:t>Intercepto funcional.</w:t>
            </w:r>
          </w:p>
          <w:p w14:paraId="22D490D6" w14:textId="77777777" w:rsidR="0023141A" w:rsidRPr="00EC1119" w:rsidRDefault="0023141A" w:rsidP="00F53AB3">
            <w:pPr>
              <w:jc w:val="center"/>
              <w:rPr>
                <w:sz w:val="24"/>
                <w:szCs w:val="24"/>
                <w:lang w:val="es-CO"/>
              </w:rPr>
            </w:pPr>
            <w:r w:rsidRPr="00EC1119">
              <w:rPr>
                <w:noProof/>
                <w:sz w:val="24"/>
                <w:szCs w:val="24"/>
                <w:lang w:val="es-CO"/>
              </w:rPr>
              <w:drawing>
                <wp:inline distT="0" distB="0" distL="0" distR="0" wp14:anchorId="530EE9E6" wp14:editId="7E2FF9D6">
                  <wp:extent cx="3048000" cy="3048000"/>
                  <wp:effectExtent l="0" t="0" r="0" b="0"/>
                  <wp:docPr id="204897827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8276" name="Imagen 2048978276"/>
                          <pic:cNvPicPr/>
                        </pic:nvPicPr>
                        <pic:blipFill>
                          <a:blip r:embed="rId17">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tc>
        <w:tc>
          <w:tcPr>
            <w:tcW w:w="2530" w:type="pct"/>
          </w:tcPr>
          <w:p w14:paraId="4FC5240E" w14:textId="77777777" w:rsidR="0023141A" w:rsidRPr="00EC1119" w:rsidRDefault="0023141A" w:rsidP="0023141A">
            <w:pPr>
              <w:pStyle w:val="Prrafodelista"/>
              <w:numPr>
                <w:ilvl w:val="0"/>
                <w:numId w:val="36"/>
              </w:numPr>
              <w:spacing w:after="0" w:line="240" w:lineRule="auto"/>
              <w:jc w:val="both"/>
              <w:rPr>
                <w:rFonts w:ascii="Times New Roman" w:hAnsi="Times New Roman" w:cs="Times New Roman"/>
                <w:sz w:val="24"/>
                <w:szCs w:val="24"/>
                <w:lang w:val="es-CO"/>
              </w:rPr>
            </w:pPr>
            <w:r w:rsidRPr="00EC1119">
              <w:rPr>
                <w:rFonts w:ascii="Times New Roman" w:hAnsi="Times New Roman" w:cs="Times New Roman"/>
                <w:sz w:val="24"/>
                <w:szCs w:val="24"/>
                <w:lang w:val="es-CO"/>
              </w:rPr>
              <w:t>Pendiente funcional.</w:t>
            </w:r>
          </w:p>
          <w:p w14:paraId="5904FD68" w14:textId="77777777" w:rsidR="0023141A" w:rsidRPr="00EC1119" w:rsidRDefault="0023141A" w:rsidP="00F53AB3">
            <w:pPr>
              <w:rPr>
                <w:sz w:val="24"/>
                <w:szCs w:val="24"/>
                <w:lang w:val="es-CO"/>
              </w:rPr>
            </w:pPr>
            <w:r w:rsidRPr="00EC1119">
              <w:rPr>
                <w:noProof/>
                <w:sz w:val="24"/>
                <w:szCs w:val="24"/>
                <w:lang w:val="es-CO"/>
              </w:rPr>
              <w:drawing>
                <wp:inline distT="0" distB="0" distL="0" distR="0" wp14:anchorId="11908C6B" wp14:editId="71679A24">
                  <wp:extent cx="3048000" cy="3048000"/>
                  <wp:effectExtent l="0" t="0" r="0" b="0"/>
                  <wp:docPr id="210128673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86733" name="Imagen 2101286733"/>
                          <pic:cNvPicPr/>
                        </pic:nvPicPr>
                        <pic:blipFill>
                          <a:blip r:embed="rId18">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tc>
      </w:tr>
    </w:tbl>
    <w:p w14:paraId="07C86DD8" w14:textId="77777777" w:rsidR="0023141A" w:rsidRPr="00EC1119" w:rsidRDefault="0023141A" w:rsidP="0023141A">
      <w:pPr>
        <w:jc w:val="both"/>
        <w:rPr>
          <w:sz w:val="24"/>
          <w:szCs w:val="24"/>
          <w:lang w:val="es-CO"/>
        </w:rPr>
      </w:pPr>
    </w:p>
    <w:p w14:paraId="2F2ABC7B" w14:textId="77777777" w:rsidR="0023141A" w:rsidRPr="00EC1119" w:rsidRDefault="0023141A" w:rsidP="0023141A">
      <w:pPr>
        <w:jc w:val="both"/>
        <w:rPr>
          <w:sz w:val="24"/>
          <w:szCs w:val="24"/>
          <w:lang w:val="es-ES"/>
        </w:rPr>
      </w:pPr>
    </w:p>
    <w:p w14:paraId="158D7954" w14:textId="77777777" w:rsidR="0023141A" w:rsidRPr="00EC1119" w:rsidRDefault="0023141A" w:rsidP="0023141A">
      <w:pPr>
        <w:jc w:val="both"/>
        <w:rPr>
          <w:sz w:val="24"/>
          <w:szCs w:val="24"/>
          <w:lang w:val="es-CO"/>
        </w:rPr>
      </w:pPr>
      <w:r w:rsidRPr="00EC1119">
        <w:rPr>
          <w:sz w:val="24"/>
          <w:szCs w:val="24"/>
          <w:lang w:val="es-CO"/>
        </w:rPr>
        <w:t>El análisis presentado en la Figura 2 se centra en un modelo de regresión funcional concurrente que tiene como objetivo comprender la relación entre las concentraciones diarias de PM2.5 y PM10 durante un período de tiempo específico. El componente del intercepto funcional ilustra la línea de base de PM2.5 en ausencia de PM10, revelando fluctuaciones significativas en las concentraciones de PM2.5 que no son explicadas por PM10. Estos cambios en el intercepto podrían atribuirse a influencias externas o variaciones en fuentes de contaminación distintas de las partículas PM10.</w:t>
      </w:r>
    </w:p>
    <w:p w14:paraId="6F74394B" w14:textId="77777777" w:rsidR="0023141A" w:rsidRPr="00EC1119" w:rsidRDefault="0023141A" w:rsidP="0023141A">
      <w:pPr>
        <w:jc w:val="both"/>
        <w:rPr>
          <w:sz w:val="24"/>
          <w:szCs w:val="24"/>
          <w:lang w:val="es-CO"/>
        </w:rPr>
      </w:pPr>
      <w:r w:rsidRPr="00EC1119">
        <w:rPr>
          <w:sz w:val="24"/>
          <w:szCs w:val="24"/>
          <w:lang w:val="es-CO"/>
        </w:rPr>
        <w:t>La presencia de picos y valles prominentes en el intercepto sugiere días específicos con niveles inusualmente altos o bajos de PM2.5, lo que resalta la influencia de factores como las actividades industriales, condiciones meteorológicas o episodios de incendios forestales que pueden contribuir a las concentraciones de PM2.5 independientemente de las de PM10.</w:t>
      </w:r>
    </w:p>
    <w:p w14:paraId="58C6F1C6" w14:textId="77777777" w:rsidR="0023141A" w:rsidRPr="00EC1119" w:rsidRDefault="0023141A" w:rsidP="0023141A">
      <w:pPr>
        <w:jc w:val="both"/>
        <w:rPr>
          <w:sz w:val="24"/>
          <w:szCs w:val="24"/>
          <w:lang w:val="es-CO"/>
        </w:rPr>
      </w:pPr>
      <w:r w:rsidRPr="00EC1119">
        <w:rPr>
          <w:sz w:val="24"/>
          <w:szCs w:val="24"/>
          <w:lang w:val="es-CO"/>
        </w:rPr>
        <w:t>Por otro lado, la pendiente funcional ofrece una visión dinámica de cómo las concentraciones de PM10 están asociadas con las de PM2.5 a lo largo del tiempo. La variabilidad de la pendiente a lo largo del mes refleja la naturaleza compleja de esta relación, mostrando días en los que la correlación entre PM10 y PM2.5 es más fuerte, ya sea positiva o negativamente. Esto implica que la influencia de PM10 en PM2.5 no es constante, sino que puede ser modulada por factores como la dispersión atmosférica, las reacciones químicas en la atmósfera o la contribución de diferentes tipos de fuentes de contaminación.</w:t>
      </w:r>
    </w:p>
    <w:p w14:paraId="337506C3" w14:textId="25015B55" w:rsidR="0023141A" w:rsidRDefault="0023141A" w:rsidP="0023141A">
      <w:pPr>
        <w:jc w:val="both"/>
        <w:rPr>
          <w:sz w:val="24"/>
          <w:szCs w:val="24"/>
          <w:lang w:val="es-CO"/>
        </w:rPr>
      </w:pPr>
      <w:r w:rsidRPr="00EC1119">
        <w:rPr>
          <w:sz w:val="24"/>
          <w:szCs w:val="24"/>
          <w:lang w:val="es-CO"/>
        </w:rPr>
        <w:t xml:space="preserve">La interpretación detallada de la pendiente funcional es esencial para modelar con precisión la calidad del aire, ya que permite a los investigadores y responsables de </w:t>
      </w:r>
      <w:r w:rsidRPr="00EC1119">
        <w:rPr>
          <w:sz w:val="24"/>
          <w:szCs w:val="24"/>
          <w:lang w:val="es-CO"/>
        </w:rPr>
        <w:lastRenderedPageBreak/>
        <w:t>políticas públicas identificar patrones y establecer estrategias más efectivas para la gestión de la contaminación atmosférica y la protección de la salud pública.</w:t>
      </w:r>
    </w:p>
    <w:p w14:paraId="40199589" w14:textId="308A7174" w:rsidR="0023141A" w:rsidRDefault="0023141A" w:rsidP="0023141A">
      <w:pPr>
        <w:jc w:val="both"/>
        <w:rPr>
          <w:sz w:val="24"/>
          <w:szCs w:val="24"/>
          <w:lang w:val="es-CO"/>
        </w:rPr>
      </w:pPr>
    </w:p>
    <w:p w14:paraId="4A2F29F6" w14:textId="77777777" w:rsidR="0023141A" w:rsidRDefault="0023141A" w:rsidP="0023141A">
      <w:pPr>
        <w:jc w:val="both"/>
        <w:rPr>
          <w:sz w:val="24"/>
          <w:szCs w:val="24"/>
          <w:lang w:val="es-CO"/>
        </w:rPr>
      </w:pPr>
    </w:p>
    <w:p w14:paraId="2DF93ED1" w14:textId="4DEBAB65" w:rsidR="0023141A" w:rsidRDefault="0023141A" w:rsidP="0023141A">
      <w:pPr>
        <w:jc w:val="both"/>
        <w:rPr>
          <w:sz w:val="24"/>
          <w:szCs w:val="24"/>
          <w:lang w:val="es-CO"/>
        </w:rPr>
      </w:pPr>
    </w:p>
    <w:p w14:paraId="5DFBAB0E" w14:textId="77777777" w:rsidR="0023141A" w:rsidRPr="0023141A" w:rsidRDefault="0023141A" w:rsidP="0023141A">
      <w:pPr>
        <w:numPr>
          <w:ilvl w:val="0"/>
          <w:numId w:val="7"/>
        </w:numPr>
        <w:spacing w:line="360" w:lineRule="auto"/>
        <w:ind w:left="567" w:right="-1"/>
        <w:rPr>
          <w:b/>
          <w:sz w:val="24"/>
          <w:szCs w:val="24"/>
        </w:rPr>
      </w:pPr>
      <w:r w:rsidRPr="0023141A">
        <w:rPr>
          <w:b/>
          <w:sz w:val="24"/>
          <w:szCs w:val="24"/>
        </w:rPr>
        <w:t>Conclusiones</w:t>
      </w:r>
    </w:p>
    <w:p w14:paraId="651B28DE" w14:textId="77777777" w:rsidR="0023141A" w:rsidRPr="00EC1119" w:rsidRDefault="0023141A" w:rsidP="0023141A">
      <w:pPr>
        <w:jc w:val="both"/>
        <w:rPr>
          <w:sz w:val="24"/>
          <w:szCs w:val="24"/>
          <w:lang w:val="es-CO"/>
        </w:rPr>
      </w:pPr>
    </w:p>
    <w:p w14:paraId="3C07D11C" w14:textId="77777777" w:rsidR="0023141A" w:rsidRPr="00EC1119" w:rsidRDefault="0023141A" w:rsidP="0023141A">
      <w:pPr>
        <w:jc w:val="both"/>
        <w:rPr>
          <w:sz w:val="24"/>
          <w:szCs w:val="24"/>
          <w:lang w:val="es-CO"/>
        </w:rPr>
      </w:pPr>
      <w:r w:rsidRPr="00EC1119">
        <w:rPr>
          <w:sz w:val="24"/>
          <w:szCs w:val="24"/>
          <w:lang w:val="es-CO"/>
        </w:rPr>
        <w:t>La incorporación del modelo de regresión funcional concurrente en este estudio ha sido instrumental para dilucidar la relación compleja y evolutiva entre los contaminantes PM2.5 y PM10. Este modelo ha destacado la existencia de fluctuaciones en las concentraciones de PM2.5 que no son directamente atribuibles a variaciones en PM10, lo cual sugiere que existen factores independientes y potencialmente ocultos que afectan los niveles de PM2.5. De manera crucial, el intercepto funcional ha revelado una serie de fluctuaciones que parecen ser autónomas de las variaciones de PM10, lo que podría indicar la presencia de fuentes de emisión adicionales o cambios en las condiciones ambientales que afectan específicamente a las partículas más finas.</w:t>
      </w:r>
    </w:p>
    <w:p w14:paraId="12EDF544" w14:textId="77777777" w:rsidR="0023141A" w:rsidRPr="00EC1119" w:rsidRDefault="0023141A" w:rsidP="0023141A">
      <w:pPr>
        <w:jc w:val="both"/>
        <w:rPr>
          <w:vanish/>
          <w:sz w:val="24"/>
          <w:szCs w:val="24"/>
          <w:lang w:val="es-CO"/>
        </w:rPr>
      </w:pPr>
      <w:r w:rsidRPr="00EC1119">
        <w:rPr>
          <w:sz w:val="24"/>
          <w:szCs w:val="24"/>
          <w:lang w:val="es-CO"/>
        </w:rPr>
        <w:t>Por otro lado, la pendiente funcional ha proporcionado una descripción detallada de cómo las concentraciones de PM10 ejercen una influencia sobre los niveles de PM2.5, con una relación que varía a lo largo del tiempo y que es sensible a una gama de factores ambientales dinámicos, incluyendo la dispersión atmosférica y las complejas reacciones químicas que pueden ocurrir en la atmósfera urbana.</w:t>
      </w:r>
      <w:r w:rsidRPr="00EC1119">
        <w:rPr>
          <w:vanish/>
          <w:sz w:val="24"/>
          <w:szCs w:val="24"/>
          <w:lang w:val="es-CO"/>
        </w:rPr>
        <w:t>Principio del formulario</w:t>
      </w:r>
    </w:p>
    <w:p w14:paraId="4DE7003A" w14:textId="77777777" w:rsidR="0023141A" w:rsidRPr="00EC1119" w:rsidRDefault="0023141A" w:rsidP="0023141A">
      <w:pPr>
        <w:jc w:val="both"/>
        <w:rPr>
          <w:sz w:val="24"/>
          <w:szCs w:val="24"/>
          <w:lang w:val="es-CO"/>
        </w:rPr>
      </w:pPr>
    </w:p>
    <w:p w14:paraId="320098B3" w14:textId="77777777" w:rsidR="0023141A" w:rsidRPr="00EC1119" w:rsidRDefault="0023141A" w:rsidP="0023141A">
      <w:pPr>
        <w:jc w:val="both"/>
        <w:rPr>
          <w:sz w:val="24"/>
          <w:szCs w:val="24"/>
          <w:lang w:val="es-CO"/>
        </w:rPr>
      </w:pPr>
      <w:r w:rsidRPr="00EC1119">
        <w:rPr>
          <w:vanish/>
          <w:sz w:val="24"/>
          <w:szCs w:val="24"/>
          <w:lang w:val="es-CO"/>
        </w:rPr>
        <w:t>Final del formulario</w:t>
      </w:r>
      <w:r w:rsidRPr="00EC1119">
        <w:rPr>
          <w:sz w:val="24"/>
          <w:szCs w:val="24"/>
          <w:lang w:val="es-CO"/>
        </w:rPr>
        <w:t>Este análisis avanzado, al desglosar las interacciones entre estos dos contaminantes clave, no solo aporta una comprensión más profunda de la dinámica de la contaminación del aire, sino que también se convierte en un recurso valioso para los responsables de la toma de decisiones y los profesionales de la salud pública. Con estos resultados, se pueden identificar patrones críticos que informan las estrategias de intervención y mitigación, apoyando esfuerzos para mejorar la calidad del aire y proteger la salud pública.</w:t>
      </w:r>
    </w:p>
    <w:p w14:paraId="5BEEC685" w14:textId="77777777" w:rsidR="0023141A" w:rsidRPr="00EC1119" w:rsidRDefault="0023141A" w:rsidP="0023141A">
      <w:pPr>
        <w:jc w:val="both"/>
        <w:rPr>
          <w:sz w:val="24"/>
          <w:szCs w:val="24"/>
          <w:lang w:val="es-CO"/>
        </w:rPr>
      </w:pPr>
      <w:r w:rsidRPr="00EC1119">
        <w:rPr>
          <w:sz w:val="24"/>
          <w:szCs w:val="24"/>
          <w:lang w:val="es-CO"/>
        </w:rPr>
        <w:t>La investigación ha evidenciado que los modelos funcionales son esenciales en la cartografía y análisis de la contaminación atmosférica, permitiendo predecir y responder a los desafíos ambientales con mayor eficacia. Al establecer una base sólida para la comprensión de las complejidades del aire urbano, este estudio abre un camino hacia futuras investigaciones que podrían explorar aún más los factores que influyen en la calidad del aire y cómo estos se interrelacionan dentro del entorno urbano, lo que es de suma importancia en la lucha continua contra la contaminación atmosférica y sus impactos en la salud global.</w:t>
      </w:r>
    </w:p>
    <w:p w14:paraId="5714471A" w14:textId="2ABDC180" w:rsidR="00411A03" w:rsidRDefault="00411A03" w:rsidP="00411A03">
      <w:pPr>
        <w:spacing w:line="360" w:lineRule="auto"/>
        <w:ind w:right="-1"/>
        <w:rPr>
          <w:b/>
          <w:sz w:val="24"/>
          <w:szCs w:val="24"/>
          <w:lang w:val="es-CO"/>
        </w:rPr>
      </w:pPr>
    </w:p>
    <w:p w14:paraId="579DC35E" w14:textId="77777777" w:rsidR="0023141A" w:rsidRPr="0023141A" w:rsidRDefault="0023141A" w:rsidP="0023141A">
      <w:pPr>
        <w:numPr>
          <w:ilvl w:val="0"/>
          <w:numId w:val="7"/>
        </w:numPr>
        <w:spacing w:line="360" w:lineRule="auto"/>
        <w:ind w:left="567" w:right="-1"/>
        <w:rPr>
          <w:b/>
          <w:sz w:val="24"/>
          <w:szCs w:val="24"/>
        </w:rPr>
      </w:pPr>
      <w:r w:rsidRPr="0023141A">
        <w:rPr>
          <w:b/>
          <w:sz w:val="24"/>
          <w:szCs w:val="24"/>
        </w:rPr>
        <w:t>Referencias</w:t>
      </w:r>
    </w:p>
    <w:p w14:paraId="0EF93034" w14:textId="77777777" w:rsidR="0023141A" w:rsidRPr="00EC1119" w:rsidRDefault="0023141A" w:rsidP="0023141A">
      <w:pPr>
        <w:ind w:left="709" w:hanging="709"/>
        <w:jc w:val="both"/>
        <w:rPr>
          <w:sz w:val="24"/>
          <w:szCs w:val="24"/>
          <w:lang w:val="es-PE"/>
        </w:rPr>
      </w:pPr>
      <w:r w:rsidRPr="00EC1119">
        <w:rPr>
          <w:sz w:val="24"/>
          <w:szCs w:val="24"/>
          <w:lang w:val="es-PE"/>
        </w:rPr>
        <w:t>Aguilera, M. d. C. (2009). Estimación penalizada de datos funcionales. Tesis de Maestría - Universidad de Granada.</w:t>
      </w:r>
    </w:p>
    <w:p w14:paraId="08BAFBEF" w14:textId="77777777" w:rsidR="0023141A" w:rsidRPr="00EC1119" w:rsidRDefault="0023141A" w:rsidP="0023141A">
      <w:pPr>
        <w:ind w:left="709" w:hanging="709"/>
        <w:jc w:val="both"/>
        <w:rPr>
          <w:sz w:val="24"/>
          <w:szCs w:val="24"/>
          <w:lang w:val="es-ES"/>
        </w:rPr>
      </w:pPr>
      <w:proofErr w:type="spellStart"/>
      <w:r w:rsidRPr="00EC1119">
        <w:rPr>
          <w:sz w:val="24"/>
          <w:szCs w:val="24"/>
          <w:lang w:val="es-PE"/>
        </w:rPr>
        <w:t>Azqueta</w:t>
      </w:r>
      <w:proofErr w:type="spellEnd"/>
      <w:r w:rsidRPr="00EC1119">
        <w:rPr>
          <w:sz w:val="24"/>
          <w:szCs w:val="24"/>
          <w:lang w:val="es-PE"/>
        </w:rPr>
        <w:t xml:space="preserve">, D. &amp; </w:t>
      </w:r>
      <w:proofErr w:type="spellStart"/>
      <w:r w:rsidRPr="00EC1119">
        <w:rPr>
          <w:sz w:val="24"/>
          <w:szCs w:val="24"/>
          <w:lang w:val="es-PE"/>
        </w:rPr>
        <w:t>Delacámara</w:t>
      </w:r>
      <w:proofErr w:type="spellEnd"/>
      <w:r w:rsidRPr="00EC1119">
        <w:rPr>
          <w:sz w:val="24"/>
          <w:szCs w:val="24"/>
          <w:lang w:val="es-PE"/>
        </w:rPr>
        <w:t>, G. (2004). El p</w:t>
      </w:r>
      <w:proofErr w:type="spellStart"/>
      <w:r w:rsidRPr="00EC1119">
        <w:rPr>
          <w:sz w:val="24"/>
          <w:szCs w:val="24"/>
          <w:lang w:val="es-ES"/>
        </w:rPr>
        <w:t>apel</w:t>
      </w:r>
      <w:proofErr w:type="spellEnd"/>
      <w:r w:rsidRPr="00EC1119">
        <w:rPr>
          <w:sz w:val="24"/>
          <w:szCs w:val="24"/>
          <w:lang w:val="es-ES"/>
        </w:rPr>
        <w:t xml:space="preserve"> de las variables ambientales en la nueva geografía económica.  Investigaciones Regionales, núm. 4, primavera, 2004, pp. 145-175. Asociación Española de Ciencia Regional. Madrid, España. </w:t>
      </w:r>
      <w:hyperlink r:id="rId19" w:history="1">
        <w:r w:rsidRPr="00EC1119">
          <w:rPr>
            <w:rStyle w:val="Hipervnculo"/>
            <w:rFonts w:eastAsiaTheme="minorEastAsia"/>
            <w:lang w:val="es-ES"/>
          </w:rPr>
          <w:t>https://www.redalyc.org/pdf/289/28900408.pdf</w:t>
        </w:r>
      </w:hyperlink>
    </w:p>
    <w:p w14:paraId="085FA66B" w14:textId="77777777" w:rsidR="0023141A" w:rsidRPr="00EC1119" w:rsidRDefault="0023141A" w:rsidP="0023141A">
      <w:pPr>
        <w:ind w:left="709" w:hanging="709"/>
        <w:jc w:val="both"/>
        <w:rPr>
          <w:sz w:val="24"/>
          <w:szCs w:val="24"/>
        </w:rPr>
      </w:pPr>
      <w:r w:rsidRPr="00EC1119">
        <w:rPr>
          <w:sz w:val="24"/>
          <w:szCs w:val="24"/>
          <w:lang w:val="es-ES"/>
        </w:rPr>
        <w:t xml:space="preserve">Baena, D.; Jiménez, J.; Zapata, C. &amp; Ramírez, A. (2019) Red neuronal artificial aplicado para el pronóstico de eventos críticos de PM2.5 en el Valle de Aburrá. (Laboratorio de Calidad del Aire - CALAIRE, Facultad de Minas, Universidad Nacional de Colombia Sede Medellín). </w:t>
      </w:r>
      <w:hyperlink r:id="rId20" w:history="1">
        <w:r w:rsidRPr="00EC1119">
          <w:rPr>
            <w:rStyle w:val="Hipervnculo"/>
            <w:rFonts w:eastAsiaTheme="minorEastAsia"/>
          </w:rPr>
          <w:t>http://www.scielo.org.co/pdf/dyna/v86n209/0012-7353-dyna-86-209-347.pdf</w:t>
        </w:r>
      </w:hyperlink>
    </w:p>
    <w:p w14:paraId="587FF8E3" w14:textId="77777777" w:rsidR="0023141A" w:rsidRPr="00EC1119" w:rsidRDefault="0023141A" w:rsidP="0023141A">
      <w:pPr>
        <w:ind w:left="709" w:hanging="709"/>
        <w:jc w:val="both"/>
        <w:rPr>
          <w:sz w:val="24"/>
          <w:szCs w:val="24"/>
          <w:lang w:val="es-ES"/>
        </w:rPr>
      </w:pPr>
      <w:proofErr w:type="spellStart"/>
      <w:r w:rsidRPr="00EC1119">
        <w:rPr>
          <w:sz w:val="24"/>
          <w:szCs w:val="24"/>
        </w:rPr>
        <w:lastRenderedPageBreak/>
        <w:t>Digesa</w:t>
      </w:r>
      <w:proofErr w:type="spellEnd"/>
      <w:r w:rsidRPr="00EC1119">
        <w:rPr>
          <w:sz w:val="24"/>
          <w:szCs w:val="24"/>
        </w:rPr>
        <w:t xml:space="preserve">. </w:t>
      </w:r>
      <w:r w:rsidRPr="00EC1119">
        <w:rPr>
          <w:sz w:val="24"/>
          <w:szCs w:val="24"/>
          <w:lang w:val="es-ES"/>
        </w:rPr>
        <w:t>(2011). Estudio de Saturación Lima Metropolitana y Callao, Año 2011. Lima, Perú.</w:t>
      </w:r>
    </w:p>
    <w:p w14:paraId="407C0823" w14:textId="77777777" w:rsidR="0023141A" w:rsidRPr="00EC1119" w:rsidRDefault="0023141A" w:rsidP="0023141A">
      <w:pPr>
        <w:ind w:left="709"/>
        <w:jc w:val="both"/>
        <w:rPr>
          <w:sz w:val="24"/>
          <w:szCs w:val="24"/>
          <w:lang w:val="es-ES"/>
        </w:rPr>
      </w:pPr>
      <w:r w:rsidRPr="00EC1119">
        <w:rPr>
          <w:sz w:val="24"/>
          <w:szCs w:val="24"/>
          <w:lang w:val="es-ES"/>
        </w:rPr>
        <w:t>https://www.yumpu.com/es/document/view/13237199/ii-estudio-de-saturacion-dela-calidad-del-aire-en-lima-.</w:t>
      </w:r>
    </w:p>
    <w:p w14:paraId="7151013A" w14:textId="77777777" w:rsidR="0023141A" w:rsidRPr="00EC1119" w:rsidRDefault="0023141A" w:rsidP="0023141A">
      <w:pPr>
        <w:ind w:left="709" w:hanging="709"/>
        <w:jc w:val="both"/>
        <w:rPr>
          <w:sz w:val="24"/>
          <w:szCs w:val="24"/>
          <w:lang w:val="es-ES"/>
        </w:rPr>
      </w:pPr>
      <w:proofErr w:type="spellStart"/>
      <w:r w:rsidRPr="00EC1119">
        <w:rPr>
          <w:sz w:val="24"/>
          <w:szCs w:val="24"/>
        </w:rPr>
        <w:t>Ferraty</w:t>
      </w:r>
      <w:proofErr w:type="spellEnd"/>
      <w:r w:rsidRPr="00EC1119">
        <w:rPr>
          <w:sz w:val="24"/>
          <w:szCs w:val="24"/>
        </w:rPr>
        <w:t xml:space="preserve">, F. &amp; </w:t>
      </w:r>
      <w:proofErr w:type="spellStart"/>
      <w:r w:rsidRPr="00EC1119">
        <w:rPr>
          <w:sz w:val="24"/>
          <w:szCs w:val="24"/>
        </w:rPr>
        <w:t>Vieu</w:t>
      </w:r>
      <w:proofErr w:type="spellEnd"/>
      <w:r w:rsidRPr="00EC1119">
        <w:rPr>
          <w:sz w:val="24"/>
          <w:szCs w:val="24"/>
        </w:rPr>
        <w:t xml:space="preserve">, P. (2006). Nonparametric functional data analysis: theory and practice. </w:t>
      </w:r>
      <w:r w:rsidRPr="00EC1119">
        <w:rPr>
          <w:sz w:val="24"/>
          <w:szCs w:val="24"/>
          <w:lang w:val="es-CO"/>
        </w:rPr>
        <w:t>New York, USA: Springer. 260p</w:t>
      </w:r>
    </w:p>
    <w:p w14:paraId="4BA8F818" w14:textId="77777777" w:rsidR="0023141A" w:rsidRPr="00EC1119" w:rsidRDefault="0023141A" w:rsidP="0023141A">
      <w:pPr>
        <w:ind w:left="709" w:hanging="709"/>
        <w:jc w:val="both"/>
        <w:rPr>
          <w:sz w:val="24"/>
          <w:szCs w:val="24"/>
          <w:lang w:val="es-ES"/>
        </w:rPr>
      </w:pPr>
      <w:r w:rsidRPr="00EC1119">
        <w:rPr>
          <w:sz w:val="24"/>
          <w:szCs w:val="24"/>
          <w:lang w:val="es-ES"/>
        </w:rPr>
        <w:t>García, C. (2015). Concentración de Material Particulado PM en Función de la Humedad y 2,5 Reflectancia Atmosférica Usando Imágenes Landsat-8 en Lima Metropolitana, 2015 – 2016</w:t>
      </w:r>
    </w:p>
    <w:p w14:paraId="2C428B75" w14:textId="77777777" w:rsidR="0023141A" w:rsidRPr="00EC1119" w:rsidRDefault="0023141A" w:rsidP="0023141A">
      <w:pPr>
        <w:ind w:left="709" w:hanging="709"/>
        <w:jc w:val="both"/>
        <w:rPr>
          <w:sz w:val="24"/>
          <w:szCs w:val="24"/>
        </w:rPr>
      </w:pPr>
      <w:proofErr w:type="spellStart"/>
      <w:r w:rsidRPr="00EC1119">
        <w:rPr>
          <w:sz w:val="24"/>
          <w:szCs w:val="24"/>
          <w:lang w:val="es-ES"/>
        </w:rPr>
        <w:t>Manteiga</w:t>
      </w:r>
      <w:proofErr w:type="spellEnd"/>
      <w:r w:rsidRPr="00EC1119">
        <w:rPr>
          <w:sz w:val="24"/>
          <w:szCs w:val="24"/>
          <w:lang w:val="es-ES"/>
        </w:rPr>
        <w:t xml:space="preserve">, W. G. &amp; </w:t>
      </w:r>
      <w:proofErr w:type="spellStart"/>
      <w:r w:rsidRPr="00EC1119">
        <w:rPr>
          <w:sz w:val="24"/>
          <w:szCs w:val="24"/>
          <w:lang w:val="es-ES"/>
        </w:rPr>
        <w:t>Vieu</w:t>
      </w:r>
      <w:proofErr w:type="spellEnd"/>
      <w:r w:rsidRPr="00EC1119">
        <w:rPr>
          <w:sz w:val="24"/>
          <w:szCs w:val="24"/>
          <w:lang w:val="es-ES"/>
        </w:rPr>
        <w:t xml:space="preserve">, P. (2007). </w:t>
      </w:r>
      <w:r w:rsidRPr="00EC1119">
        <w:rPr>
          <w:sz w:val="24"/>
          <w:szCs w:val="24"/>
        </w:rPr>
        <w:t>Statistics for functional data. Computational Statistics &amp; Data Analysis, 51(10), 4788–4792.</w:t>
      </w:r>
    </w:p>
    <w:p w14:paraId="0FECE013" w14:textId="77777777" w:rsidR="0023141A" w:rsidRPr="00EC1119" w:rsidRDefault="0023141A" w:rsidP="0023141A">
      <w:pPr>
        <w:ind w:left="709" w:hanging="709"/>
        <w:jc w:val="both"/>
        <w:rPr>
          <w:sz w:val="24"/>
          <w:szCs w:val="24"/>
        </w:rPr>
      </w:pPr>
      <w:r w:rsidRPr="00EC1119">
        <w:rPr>
          <w:sz w:val="24"/>
          <w:szCs w:val="24"/>
        </w:rPr>
        <w:t>Ramsay, J. &amp; Silverman, B. (2005). Functional data analysis. New York, USA: Springer. 428p.</w:t>
      </w:r>
    </w:p>
    <w:p w14:paraId="0D5CE0D8" w14:textId="77777777" w:rsidR="0023141A" w:rsidRPr="00EC1119" w:rsidRDefault="0023141A" w:rsidP="0023141A">
      <w:pPr>
        <w:ind w:left="709" w:hanging="709"/>
        <w:jc w:val="both"/>
        <w:rPr>
          <w:sz w:val="24"/>
          <w:szCs w:val="24"/>
          <w:lang w:val="es-ES"/>
        </w:rPr>
      </w:pPr>
      <w:r w:rsidRPr="00EC1119">
        <w:rPr>
          <w:sz w:val="24"/>
          <w:szCs w:val="24"/>
        </w:rPr>
        <w:t xml:space="preserve">Ramsay, J. O. &amp; Silverman, B. W. (2002). Applied functional data analysis: methods and case studies, volume 77. </w:t>
      </w:r>
      <w:r w:rsidRPr="00EC1119">
        <w:rPr>
          <w:sz w:val="24"/>
          <w:szCs w:val="24"/>
          <w:lang w:val="es-CO"/>
        </w:rPr>
        <w:t>New York, USA: Springer. 191p.</w:t>
      </w:r>
    </w:p>
    <w:p w14:paraId="3F2A6AD4" w14:textId="77777777" w:rsidR="0023141A" w:rsidRPr="00EC1119" w:rsidRDefault="0023141A" w:rsidP="0023141A">
      <w:pPr>
        <w:ind w:left="709" w:hanging="709"/>
        <w:jc w:val="both"/>
        <w:rPr>
          <w:sz w:val="24"/>
          <w:szCs w:val="24"/>
          <w:lang w:val="es-ES"/>
        </w:rPr>
      </w:pPr>
      <w:proofErr w:type="spellStart"/>
      <w:r w:rsidRPr="00EC1119">
        <w:rPr>
          <w:sz w:val="24"/>
          <w:szCs w:val="24"/>
          <w:lang w:val="es-ES"/>
        </w:rPr>
        <w:t>Sanjana</w:t>
      </w:r>
      <w:proofErr w:type="spellEnd"/>
      <w:r w:rsidRPr="00EC1119">
        <w:rPr>
          <w:sz w:val="24"/>
          <w:szCs w:val="24"/>
          <w:lang w:val="es-ES"/>
        </w:rPr>
        <w:t xml:space="preserve"> Paul, </w:t>
      </w:r>
      <w:proofErr w:type="spellStart"/>
      <w:r w:rsidRPr="00EC1119">
        <w:rPr>
          <w:sz w:val="24"/>
          <w:szCs w:val="24"/>
          <w:lang w:val="es-ES"/>
        </w:rPr>
        <w:t>Priyanka</w:t>
      </w:r>
      <w:proofErr w:type="spellEnd"/>
      <w:r w:rsidRPr="00EC1119">
        <w:rPr>
          <w:sz w:val="24"/>
          <w:szCs w:val="24"/>
          <w:lang w:val="es-ES"/>
        </w:rPr>
        <w:t xml:space="preserve"> </w:t>
      </w:r>
      <w:proofErr w:type="spellStart"/>
      <w:r w:rsidRPr="00EC1119">
        <w:rPr>
          <w:sz w:val="24"/>
          <w:szCs w:val="24"/>
          <w:lang w:val="es-ES"/>
        </w:rPr>
        <w:t>deSouza</w:t>
      </w:r>
      <w:proofErr w:type="spellEnd"/>
      <w:r w:rsidRPr="00EC1119">
        <w:rPr>
          <w:sz w:val="24"/>
          <w:szCs w:val="24"/>
          <w:lang w:val="es-ES"/>
        </w:rPr>
        <w:t xml:space="preserve">, Yuki Machida, Simone Mora*, </w:t>
      </w:r>
      <w:proofErr w:type="spellStart"/>
      <w:r w:rsidRPr="00EC1119">
        <w:rPr>
          <w:sz w:val="24"/>
          <w:szCs w:val="24"/>
          <w:lang w:val="es-ES"/>
        </w:rPr>
        <w:t>Fábio</w:t>
      </w:r>
      <w:proofErr w:type="spellEnd"/>
      <w:r w:rsidRPr="00EC1119">
        <w:rPr>
          <w:sz w:val="24"/>
          <w:szCs w:val="24"/>
          <w:lang w:val="es-ES"/>
        </w:rPr>
        <w:t xml:space="preserve"> Duarte y Carlo Ratti (2023). </w:t>
      </w:r>
      <w:r w:rsidRPr="00EC1119">
        <w:rPr>
          <w:sz w:val="24"/>
          <w:szCs w:val="24"/>
        </w:rPr>
        <w:t xml:space="preserve">Key themes, trends, and drivers of mobile ambient air quality monitoring: a systematic review and meta-analysis. environmental science &amp; technology, 57(26), 9427-9444. </w:t>
      </w:r>
      <w:hyperlink r:id="rId21" w:history="1">
        <w:r w:rsidRPr="00EC1119">
          <w:rPr>
            <w:rStyle w:val="Hipervnculo"/>
            <w:rFonts w:eastAsiaTheme="minorEastAsia"/>
            <w:lang w:val="es-ES"/>
          </w:rPr>
          <w:t>https://doi.org/10.1021/acs.est.2c06310</w:t>
        </w:r>
      </w:hyperlink>
    </w:p>
    <w:p w14:paraId="59510EDF" w14:textId="77777777" w:rsidR="0023141A" w:rsidRPr="00EC1119" w:rsidRDefault="0023141A" w:rsidP="0023141A">
      <w:pPr>
        <w:ind w:left="709" w:hanging="709"/>
        <w:jc w:val="both"/>
        <w:rPr>
          <w:sz w:val="24"/>
          <w:szCs w:val="24"/>
        </w:rPr>
      </w:pPr>
      <w:r w:rsidRPr="00EC1119">
        <w:rPr>
          <w:sz w:val="24"/>
          <w:szCs w:val="24"/>
          <w:lang w:val="es-ES"/>
        </w:rPr>
        <w:t xml:space="preserve">Xiao, W y </w:t>
      </w:r>
      <w:proofErr w:type="spellStart"/>
      <w:r w:rsidRPr="00EC1119">
        <w:rPr>
          <w:sz w:val="24"/>
          <w:szCs w:val="24"/>
          <w:lang w:val="es-ES"/>
        </w:rPr>
        <w:t>Hu</w:t>
      </w:r>
      <w:proofErr w:type="spellEnd"/>
      <w:r w:rsidRPr="00EC1119">
        <w:rPr>
          <w:sz w:val="24"/>
          <w:szCs w:val="24"/>
          <w:lang w:val="es-ES"/>
        </w:rPr>
        <w:t xml:space="preserve">, Yan (2018). </w:t>
      </w:r>
      <w:r w:rsidRPr="00EC1119">
        <w:rPr>
          <w:sz w:val="24"/>
          <w:szCs w:val="24"/>
        </w:rPr>
        <w:t xml:space="preserve">Functional data analysis of air pollution in six major cities. College of Sciences, North China University of Technology, </w:t>
      </w:r>
      <w:proofErr w:type="spellStart"/>
      <w:r w:rsidRPr="00EC1119">
        <w:rPr>
          <w:sz w:val="24"/>
          <w:szCs w:val="24"/>
        </w:rPr>
        <w:t>Beijng</w:t>
      </w:r>
      <w:proofErr w:type="spellEnd"/>
      <w:r w:rsidRPr="00EC1119">
        <w:rPr>
          <w:sz w:val="24"/>
          <w:szCs w:val="24"/>
        </w:rPr>
        <w:t xml:space="preserve"> 100144, China</w:t>
      </w:r>
    </w:p>
    <w:p w14:paraId="15B46246" w14:textId="77777777" w:rsidR="0023141A" w:rsidRPr="00EC1119" w:rsidRDefault="0023141A" w:rsidP="0023141A">
      <w:pPr>
        <w:ind w:left="709" w:hanging="709"/>
        <w:jc w:val="both"/>
        <w:rPr>
          <w:sz w:val="24"/>
          <w:szCs w:val="24"/>
          <w:lang w:val="es-ES"/>
        </w:rPr>
      </w:pPr>
      <w:r w:rsidRPr="00EC1119">
        <w:rPr>
          <w:sz w:val="24"/>
          <w:szCs w:val="24"/>
        </w:rPr>
        <w:t xml:space="preserve">Zhu, Y.; Zhao, F.; Li, J., Tan, T. y Dai, L. (2023). The quantitative research on atmospheric environmental corrosion of aluminum alloy products. e3s web of conferences, 375, 01007. </w:t>
      </w:r>
      <w:hyperlink r:id="rId22" w:history="1">
        <w:r w:rsidRPr="00EC1119">
          <w:rPr>
            <w:rStyle w:val="Hipervnculo"/>
            <w:rFonts w:eastAsiaTheme="minorEastAsia"/>
            <w:lang w:val="es-ES"/>
          </w:rPr>
          <w:t>https://doi.org/10.1051/e3sconf/202337501007</w:t>
        </w:r>
      </w:hyperlink>
    </w:p>
    <w:p w14:paraId="4CB5056B" w14:textId="77777777" w:rsidR="0023141A" w:rsidRPr="0023141A" w:rsidRDefault="0023141A" w:rsidP="00411A03">
      <w:pPr>
        <w:spacing w:line="360" w:lineRule="auto"/>
        <w:ind w:right="-1"/>
        <w:rPr>
          <w:b/>
          <w:sz w:val="24"/>
          <w:szCs w:val="24"/>
          <w:lang w:val="es-CO"/>
        </w:rPr>
      </w:pPr>
    </w:p>
    <w:sectPr w:rsidR="0023141A" w:rsidRPr="0023141A" w:rsidSect="0023141A">
      <w:headerReference w:type="default" r:id="rId23"/>
      <w:footerReference w:type="default" r:id="rId24"/>
      <w:headerReference w:type="first" r:id="rId25"/>
      <w:footerReference w:type="first" r:id="rId26"/>
      <w:pgSz w:w="11906" w:h="16838"/>
      <w:pgMar w:top="1418" w:right="1701" w:bottom="1418" w:left="1701" w:header="709" w:footer="709" w:gutter="0"/>
      <w:pgNumType w:start="6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F153" w14:textId="77777777" w:rsidR="00DD4E97" w:rsidRDefault="00DD4E97" w:rsidP="00980961">
      <w:r>
        <w:separator/>
      </w:r>
    </w:p>
  </w:endnote>
  <w:endnote w:type="continuationSeparator" w:id="0">
    <w:p w14:paraId="0D3245C5" w14:textId="77777777" w:rsidR="00DD4E97" w:rsidRDefault="00DD4E97" w:rsidP="0098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ECEE" w14:textId="1E483C63" w:rsidR="00E95667" w:rsidRPr="003972F7" w:rsidRDefault="00E95667" w:rsidP="00E95667">
    <w:pPr>
      <w:pStyle w:val="Piedepgina"/>
      <w:jc w:val="right"/>
      <w:rPr>
        <w:sz w:val="14"/>
        <w:szCs w:val="14"/>
      </w:rPr>
    </w:pPr>
    <w:r w:rsidRPr="003972F7">
      <w:rPr>
        <w:rFonts w:ascii="Arial" w:hAnsi="Arial" w:cs="Arial"/>
        <w:shd w:val="clear" w:color="auto" w:fill="FFFFFF"/>
      </w:rPr>
      <w:t xml:space="preserve">BIOTECH &amp; ENGINEERING Untels. Oct-Dec.4(2), 2024; ISSN:2788 –4295; </w:t>
    </w:r>
    <w:r w:rsidR="003F48BB">
      <w:rPr>
        <w:rFonts w:ascii="Arial" w:hAnsi="Arial" w:cs="Arial"/>
        <w:shd w:val="clear" w:color="auto" w:fill="FFFFFF"/>
      </w:rPr>
      <w:t>6</w:t>
    </w:r>
    <w:r w:rsidR="00C550F3">
      <w:rPr>
        <w:rFonts w:ascii="Arial" w:hAnsi="Arial" w:cs="Arial"/>
        <w:shd w:val="clear" w:color="auto" w:fill="FFFFFF"/>
      </w:rPr>
      <w:t>8</w:t>
    </w:r>
    <w:r w:rsidR="003F48BB" w:rsidRPr="003972F7">
      <w:rPr>
        <w:rFonts w:ascii="Arial" w:hAnsi="Arial" w:cs="Arial"/>
        <w:shd w:val="clear" w:color="auto" w:fill="FFFFFF"/>
      </w:rPr>
      <w:t>–</w:t>
    </w:r>
    <w:r w:rsidR="003F48BB">
      <w:rPr>
        <w:rFonts w:ascii="Arial" w:hAnsi="Arial" w:cs="Arial"/>
        <w:shd w:val="clear" w:color="auto" w:fill="FFFFFF"/>
      </w:rPr>
      <w:t>7</w:t>
    </w:r>
    <w:r w:rsidR="00C550F3">
      <w:rPr>
        <w:rFonts w:ascii="Arial" w:hAnsi="Arial" w:cs="Arial"/>
        <w:shd w:val="clear" w:color="auto" w:fill="FFFFFF"/>
      </w:rPr>
      <w:t>8</w:t>
    </w:r>
  </w:p>
  <w:p w14:paraId="1A5DF47A" w14:textId="2C1B533F" w:rsidR="00E95667" w:rsidRDefault="00E95667" w:rsidP="00E95667">
    <w:pPr>
      <w:pStyle w:val="Piedepgina"/>
      <w:jc w:val="right"/>
    </w:pPr>
    <w:r w:rsidRPr="00E95667">
      <w:t>DOI: https://doi.org/</w:t>
    </w:r>
    <w:r w:rsidR="00C550F3" w:rsidRPr="00C550F3">
      <w:t>10.52248/eb.Vol4Iss3.135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F700" w14:textId="77777777" w:rsidR="00C550F3" w:rsidRPr="003972F7" w:rsidRDefault="00C550F3" w:rsidP="00C550F3">
    <w:pPr>
      <w:pStyle w:val="Piedepgina"/>
      <w:jc w:val="right"/>
      <w:rPr>
        <w:sz w:val="14"/>
        <w:szCs w:val="14"/>
      </w:rPr>
    </w:pPr>
    <w:r w:rsidRPr="003972F7">
      <w:rPr>
        <w:rFonts w:ascii="Arial" w:hAnsi="Arial" w:cs="Arial"/>
        <w:shd w:val="clear" w:color="auto" w:fill="FFFFFF"/>
      </w:rPr>
      <w:t xml:space="preserve">BIOTECH &amp; ENGINEERING Untels. Oct-Dec.4(2), 2024; ISSN:2788 –4295; </w:t>
    </w:r>
    <w:r>
      <w:rPr>
        <w:rFonts w:ascii="Arial" w:hAnsi="Arial" w:cs="Arial"/>
        <w:shd w:val="clear" w:color="auto" w:fill="FFFFFF"/>
      </w:rPr>
      <w:t>68</w:t>
    </w:r>
    <w:r w:rsidRPr="003972F7">
      <w:rPr>
        <w:rFonts w:ascii="Arial" w:hAnsi="Arial" w:cs="Arial"/>
        <w:shd w:val="clear" w:color="auto" w:fill="FFFFFF"/>
      </w:rPr>
      <w:t>–</w:t>
    </w:r>
    <w:r>
      <w:rPr>
        <w:rFonts w:ascii="Arial" w:hAnsi="Arial" w:cs="Arial"/>
        <w:shd w:val="clear" w:color="auto" w:fill="FFFFFF"/>
      </w:rPr>
      <w:t>78</w:t>
    </w:r>
  </w:p>
  <w:p w14:paraId="4F7A8554" w14:textId="05FD49E9" w:rsidR="00C550F3" w:rsidRDefault="00C550F3" w:rsidP="00C550F3">
    <w:pPr>
      <w:pStyle w:val="Piedepgina"/>
      <w:jc w:val="right"/>
    </w:pPr>
    <w:r w:rsidRPr="00E95667">
      <w:t>DOI: https://doi.org/</w:t>
    </w:r>
    <w:r w:rsidRPr="00C550F3">
      <w:t>10.52248/eb.Vol4Iss3.135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A8D4" w14:textId="77777777" w:rsidR="00DD4E97" w:rsidRDefault="00DD4E97" w:rsidP="00980961">
      <w:r>
        <w:separator/>
      </w:r>
    </w:p>
  </w:footnote>
  <w:footnote w:type="continuationSeparator" w:id="0">
    <w:p w14:paraId="5F0B4728" w14:textId="77777777" w:rsidR="00DD4E97" w:rsidRDefault="00DD4E97" w:rsidP="0098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35676"/>
      <w:docPartObj>
        <w:docPartGallery w:val="Page Numbers (Top of Page)"/>
        <w:docPartUnique/>
      </w:docPartObj>
    </w:sdtPr>
    <w:sdtContent>
      <w:p w14:paraId="4A040394" w14:textId="7BDA3FBE" w:rsidR="003F48BB" w:rsidRDefault="003F48BB">
        <w:pPr>
          <w:pStyle w:val="Encabezado"/>
          <w:jc w:val="right"/>
        </w:pPr>
        <w:r>
          <w:fldChar w:fldCharType="begin"/>
        </w:r>
        <w:r>
          <w:instrText>PAGE   \* MERGEFORMAT</w:instrText>
        </w:r>
        <w:r>
          <w:fldChar w:fldCharType="separate"/>
        </w:r>
        <w:r>
          <w:rPr>
            <w:lang w:val="es-ES"/>
          </w:rPr>
          <w:t>2</w:t>
        </w:r>
        <w:r>
          <w:fldChar w:fldCharType="end"/>
        </w:r>
      </w:p>
    </w:sdtContent>
  </w:sdt>
  <w:p w14:paraId="26045952" w14:textId="77777777" w:rsidR="00F62E72" w:rsidRDefault="00F62E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075916"/>
      <w:docPartObj>
        <w:docPartGallery w:val="Page Numbers (Top of Page)"/>
        <w:docPartUnique/>
      </w:docPartObj>
    </w:sdtPr>
    <w:sdtContent>
      <w:p w14:paraId="2E65292B" w14:textId="7DC7A0A5" w:rsidR="0023141A" w:rsidRDefault="0023141A">
        <w:pPr>
          <w:pStyle w:val="Encabezado"/>
          <w:jc w:val="right"/>
        </w:pPr>
        <w:r>
          <w:fldChar w:fldCharType="begin"/>
        </w:r>
        <w:r>
          <w:instrText>PAGE   \* MERGEFORMAT</w:instrText>
        </w:r>
        <w:r>
          <w:fldChar w:fldCharType="separate"/>
        </w:r>
        <w:r>
          <w:rPr>
            <w:lang w:val="es-ES"/>
          </w:rPr>
          <w:t>2</w:t>
        </w:r>
        <w:r>
          <w:fldChar w:fldCharType="end"/>
        </w:r>
      </w:p>
    </w:sdtContent>
  </w:sdt>
  <w:p w14:paraId="28D6CC84" w14:textId="77777777" w:rsidR="0023141A" w:rsidRDefault="002314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AA3"/>
    <w:multiLevelType w:val="multilevel"/>
    <w:tmpl w:val="80B8B74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5C6EA9"/>
    <w:multiLevelType w:val="multilevel"/>
    <w:tmpl w:val="171E4F4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92628E1"/>
    <w:multiLevelType w:val="multilevel"/>
    <w:tmpl w:val="E06063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3E5C77"/>
    <w:multiLevelType w:val="multilevel"/>
    <w:tmpl w:val="383847E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CD20AF7"/>
    <w:multiLevelType w:val="multilevel"/>
    <w:tmpl w:val="C7AA54C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10ED047F"/>
    <w:multiLevelType w:val="multilevel"/>
    <w:tmpl w:val="6FB0456A"/>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EB34A7"/>
    <w:multiLevelType w:val="multilevel"/>
    <w:tmpl w:val="370C556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A2B256B"/>
    <w:multiLevelType w:val="multilevel"/>
    <w:tmpl w:val="442CE1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C29010E"/>
    <w:multiLevelType w:val="multilevel"/>
    <w:tmpl w:val="2D1AA1D8"/>
    <w:lvl w:ilvl="0">
      <w:start w:val="1"/>
      <w:numFmt w:val="upperLetter"/>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B91AD8"/>
    <w:multiLevelType w:val="multilevel"/>
    <w:tmpl w:val="09DED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1F44798"/>
    <w:multiLevelType w:val="multilevel"/>
    <w:tmpl w:val="90E89A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C73F97"/>
    <w:multiLevelType w:val="hybridMultilevel"/>
    <w:tmpl w:val="46488690"/>
    <w:lvl w:ilvl="0" w:tplc="280A000F">
      <w:start w:val="1"/>
      <w:numFmt w:val="decimal"/>
      <w:lvlText w:val="%1."/>
      <w:lvlJc w:val="left"/>
      <w:pPr>
        <w:ind w:left="360" w:hanging="360"/>
      </w:pPr>
    </w:lvl>
    <w:lvl w:ilvl="1" w:tplc="95B84BCE">
      <w:start w:val="1"/>
      <w:numFmt w:val="decimal"/>
      <w:lvlText w:val="%2."/>
      <w:lvlJc w:val="left"/>
      <w:pPr>
        <w:ind w:left="1080" w:hanging="360"/>
      </w:pPr>
      <w:rPr>
        <w:rFonts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D863391"/>
    <w:multiLevelType w:val="multilevel"/>
    <w:tmpl w:val="035C4B1E"/>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BF4E24"/>
    <w:multiLevelType w:val="multilevel"/>
    <w:tmpl w:val="DCDA573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22F6D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B3070A"/>
    <w:multiLevelType w:val="multilevel"/>
    <w:tmpl w:val="6ACEE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146883"/>
    <w:multiLevelType w:val="multilevel"/>
    <w:tmpl w:val="49F0F48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9C74EAC"/>
    <w:multiLevelType w:val="multilevel"/>
    <w:tmpl w:val="E7B821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E4477BC"/>
    <w:multiLevelType w:val="hybridMultilevel"/>
    <w:tmpl w:val="9302430E"/>
    <w:lvl w:ilvl="0" w:tplc="280A0019">
      <w:start w:val="1"/>
      <w:numFmt w:val="lowerLetter"/>
      <w:lvlText w:val="%1."/>
      <w:lvlJc w:val="left"/>
      <w:pPr>
        <w:ind w:left="360" w:hanging="360"/>
      </w:pPr>
    </w:lvl>
    <w:lvl w:ilvl="1" w:tplc="280A0001">
      <w:start w:val="1"/>
      <w:numFmt w:val="bullet"/>
      <w:lvlText w:val=""/>
      <w:lvlJc w:val="left"/>
      <w:pPr>
        <w:ind w:left="1080" w:hanging="360"/>
      </w:pPr>
      <w:rPr>
        <w:rFonts w:ascii="Symbol" w:hAnsi="Symbol"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41B86B66"/>
    <w:multiLevelType w:val="multilevel"/>
    <w:tmpl w:val="FDD09A7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1E949B2"/>
    <w:multiLevelType w:val="multilevel"/>
    <w:tmpl w:val="ED0C69A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2D93083"/>
    <w:multiLevelType w:val="multilevel"/>
    <w:tmpl w:val="7C4E2CA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92C73D1"/>
    <w:multiLevelType w:val="multilevel"/>
    <w:tmpl w:val="6576ED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F52AE2"/>
    <w:multiLevelType w:val="multilevel"/>
    <w:tmpl w:val="DA78A72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5B5DCB"/>
    <w:multiLevelType w:val="hybridMultilevel"/>
    <w:tmpl w:val="1EDEA2FA"/>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62CD11CE"/>
    <w:multiLevelType w:val="hybridMultilevel"/>
    <w:tmpl w:val="9B022E5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66BE652D"/>
    <w:multiLevelType w:val="hybridMultilevel"/>
    <w:tmpl w:val="7378259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69AB088F"/>
    <w:multiLevelType w:val="multilevel"/>
    <w:tmpl w:val="160C0A2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B52046F"/>
    <w:multiLevelType w:val="multilevel"/>
    <w:tmpl w:val="9352570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6BF30ED1"/>
    <w:multiLevelType w:val="hybridMultilevel"/>
    <w:tmpl w:val="97AC3B6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0F7457"/>
    <w:multiLevelType w:val="hybridMultilevel"/>
    <w:tmpl w:val="8D94113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728D587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D81F3F"/>
    <w:multiLevelType w:val="multilevel"/>
    <w:tmpl w:val="417EFAA0"/>
    <w:lvl w:ilvl="0">
      <w:start w:val="1"/>
      <w:numFmt w:val="decimal"/>
      <w:lvlText w:val="%1."/>
      <w:lvlJc w:val="left"/>
      <w:pPr>
        <w:ind w:left="1069"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B7A54BE"/>
    <w:multiLevelType w:val="hybridMultilevel"/>
    <w:tmpl w:val="97AC3B6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EF2BB9"/>
    <w:multiLevelType w:val="multilevel"/>
    <w:tmpl w:val="2F30A7F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E043D1D"/>
    <w:multiLevelType w:val="hybridMultilevel"/>
    <w:tmpl w:val="A0EE38BC"/>
    <w:lvl w:ilvl="0" w:tplc="280A000F">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7"/>
  </w:num>
  <w:num w:numId="3">
    <w:abstractNumId w:val="27"/>
  </w:num>
  <w:num w:numId="4">
    <w:abstractNumId w:val="6"/>
  </w:num>
  <w:num w:numId="5">
    <w:abstractNumId w:val="34"/>
  </w:num>
  <w:num w:numId="6">
    <w:abstractNumId w:val="5"/>
  </w:num>
  <w:num w:numId="7">
    <w:abstractNumId w:val="17"/>
  </w:num>
  <w:num w:numId="8">
    <w:abstractNumId w:val="1"/>
  </w:num>
  <w:num w:numId="9">
    <w:abstractNumId w:val="10"/>
  </w:num>
  <w:num w:numId="10">
    <w:abstractNumId w:val="8"/>
  </w:num>
  <w:num w:numId="11">
    <w:abstractNumId w:val="20"/>
  </w:num>
  <w:num w:numId="12">
    <w:abstractNumId w:val="19"/>
  </w:num>
  <w:num w:numId="13">
    <w:abstractNumId w:val="13"/>
  </w:num>
  <w:num w:numId="14">
    <w:abstractNumId w:val="9"/>
  </w:num>
  <w:num w:numId="15">
    <w:abstractNumId w:val="21"/>
  </w:num>
  <w:num w:numId="16">
    <w:abstractNumId w:val="3"/>
  </w:num>
  <w:num w:numId="17">
    <w:abstractNumId w:val="0"/>
  </w:num>
  <w:num w:numId="18">
    <w:abstractNumId w:val="15"/>
  </w:num>
  <w:num w:numId="19">
    <w:abstractNumId w:val="31"/>
  </w:num>
  <w:num w:numId="20">
    <w:abstractNumId w:val="14"/>
  </w:num>
  <w:num w:numId="21">
    <w:abstractNumId w:val="24"/>
  </w:num>
  <w:num w:numId="22">
    <w:abstractNumId w:val="26"/>
  </w:num>
  <w:num w:numId="23">
    <w:abstractNumId w:val="11"/>
  </w:num>
  <w:num w:numId="24">
    <w:abstractNumId w:val="35"/>
  </w:num>
  <w:num w:numId="25">
    <w:abstractNumId w:val="30"/>
  </w:num>
  <w:num w:numId="26">
    <w:abstractNumId w:val="25"/>
  </w:num>
  <w:num w:numId="27">
    <w:abstractNumId w:val="18"/>
  </w:num>
  <w:num w:numId="28">
    <w:abstractNumId w:val="28"/>
  </w:num>
  <w:num w:numId="29">
    <w:abstractNumId w:val="4"/>
  </w:num>
  <w:num w:numId="30">
    <w:abstractNumId w:val="12"/>
  </w:num>
  <w:num w:numId="31">
    <w:abstractNumId w:val="23"/>
  </w:num>
  <w:num w:numId="32">
    <w:abstractNumId w:val="32"/>
  </w:num>
  <w:num w:numId="33">
    <w:abstractNumId w:val="22"/>
  </w:num>
  <w:num w:numId="34">
    <w:abstractNumId w:val="16"/>
  </w:num>
  <w:num w:numId="35">
    <w:abstractNumId w:val="33"/>
  </w:num>
  <w:num w:numId="36">
    <w:abstractNumId w:val="2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61"/>
    <w:rsid w:val="00073AF1"/>
    <w:rsid w:val="00141778"/>
    <w:rsid w:val="0023141A"/>
    <w:rsid w:val="00234BFF"/>
    <w:rsid w:val="00386222"/>
    <w:rsid w:val="00387603"/>
    <w:rsid w:val="003C0C5D"/>
    <w:rsid w:val="003F48BB"/>
    <w:rsid w:val="004070D2"/>
    <w:rsid w:val="00411A03"/>
    <w:rsid w:val="004A1408"/>
    <w:rsid w:val="005754E8"/>
    <w:rsid w:val="005811D3"/>
    <w:rsid w:val="00581963"/>
    <w:rsid w:val="005E0535"/>
    <w:rsid w:val="005E5CB6"/>
    <w:rsid w:val="00614BB5"/>
    <w:rsid w:val="006D0499"/>
    <w:rsid w:val="007236B0"/>
    <w:rsid w:val="00735563"/>
    <w:rsid w:val="007F49A3"/>
    <w:rsid w:val="007F59CB"/>
    <w:rsid w:val="00830DF7"/>
    <w:rsid w:val="0088517B"/>
    <w:rsid w:val="00887CC8"/>
    <w:rsid w:val="008B6E2D"/>
    <w:rsid w:val="008F45BD"/>
    <w:rsid w:val="00980961"/>
    <w:rsid w:val="00A21D48"/>
    <w:rsid w:val="00A61240"/>
    <w:rsid w:val="00AE0D9C"/>
    <w:rsid w:val="00BB1195"/>
    <w:rsid w:val="00C550F3"/>
    <w:rsid w:val="00DD4E97"/>
    <w:rsid w:val="00E02A26"/>
    <w:rsid w:val="00E17E7C"/>
    <w:rsid w:val="00E41CDE"/>
    <w:rsid w:val="00E87F08"/>
    <w:rsid w:val="00E95667"/>
    <w:rsid w:val="00F237D2"/>
    <w:rsid w:val="00F374F3"/>
    <w:rsid w:val="00F62E72"/>
    <w:rsid w:val="00FB0B26"/>
    <w:rsid w:val="00FB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A3DBA"/>
  <w15:chartTrackingRefBased/>
  <w15:docId w15:val="{9EAE57B8-291A-4A07-BA25-A3C21388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61"/>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95667"/>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E9566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E95667"/>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E9566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E9566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E95667"/>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E95667"/>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E95667"/>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E95667"/>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961"/>
    <w:pPr>
      <w:tabs>
        <w:tab w:val="center" w:pos="4419"/>
        <w:tab w:val="right" w:pos="8838"/>
      </w:tabs>
    </w:pPr>
  </w:style>
  <w:style w:type="character" w:customStyle="1" w:styleId="EncabezadoCar">
    <w:name w:val="Encabezado Car"/>
    <w:basedOn w:val="Fuentedeprrafopredeter"/>
    <w:link w:val="Encabezado"/>
    <w:uiPriority w:val="99"/>
    <w:rsid w:val="00980961"/>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80961"/>
    <w:pPr>
      <w:tabs>
        <w:tab w:val="center" w:pos="4419"/>
        <w:tab w:val="right" w:pos="8838"/>
      </w:tabs>
    </w:pPr>
  </w:style>
  <w:style w:type="character" w:customStyle="1" w:styleId="PiedepginaCar">
    <w:name w:val="Pie de página Car"/>
    <w:basedOn w:val="Fuentedeprrafopredeter"/>
    <w:link w:val="Piedepgina"/>
    <w:uiPriority w:val="99"/>
    <w:rsid w:val="00980961"/>
    <w:rPr>
      <w:rFonts w:ascii="Times New Roman" w:eastAsia="Times New Roman" w:hAnsi="Times New Roman" w:cs="Times New Roman"/>
      <w:sz w:val="20"/>
      <w:szCs w:val="20"/>
    </w:rPr>
  </w:style>
  <w:style w:type="character" w:customStyle="1" w:styleId="Ttulo1Car">
    <w:name w:val="Título 1 Car"/>
    <w:basedOn w:val="Fuentedeprrafopredeter"/>
    <w:link w:val="Ttulo1"/>
    <w:uiPriority w:val="9"/>
    <w:rsid w:val="00E95667"/>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E9566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E9566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E95667"/>
    <w:rPr>
      <w:rFonts w:eastAsiaTheme="minorEastAsia"/>
      <w:b/>
      <w:bCs/>
      <w:sz w:val="28"/>
      <w:szCs w:val="28"/>
    </w:rPr>
  </w:style>
  <w:style w:type="character" w:customStyle="1" w:styleId="Ttulo5Car">
    <w:name w:val="Título 5 Car"/>
    <w:basedOn w:val="Fuentedeprrafopredeter"/>
    <w:link w:val="Ttulo5"/>
    <w:uiPriority w:val="9"/>
    <w:semiHidden/>
    <w:rsid w:val="00E95667"/>
    <w:rPr>
      <w:rFonts w:eastAsiaTheme="minorEastAsia"/>
      <w:b/>
      <w:bCs/>
      <w:i/>
      <w:iCs/>
      <w:sz w:val="26"/>
      <w:szCs w:val="26"/>
    </w:rPr>
  </w:style>
  <w:style w:type="character" w:customStyle="1" w:styleId="Ttulo6Car">
    <w:name w:val="Título 6 Car"/>
    <w:basedOn w:val="Fuentedeprrafopredeter"/>
    <w:link w:val="Ttulo6"/>
    <w:rsid w:val="00E95667"/>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E95667"/>
    <w:rPr>
      <w:rFonts w:eastAsiaTheme="minorEastAsia"/>
      <w:sz w:val="24"/>
      <w:szCs w:val="24"/>
    </w:rPr>
  </w:style>
  <w:style w:type="character" w:customStyle="1" w:styleId="Ttulo8Car">
    <w:name w:val="Título 8 Car"/>
    <w:basedOn w:val="Fuentedeprrafopredeter"/>
    <w:link w:val="Ttulo8"/>
    <w:uiPriority w:val="9"/>
    <w:semiHidden/>
    <w:rsid w:val="00E95667"/>
    <w:rPr>
      <w:rFonts w:eastAsiaTheme="minorEastAsia"/>
      <w:i/>
      <w:iCs/>
      <w:sz w:val="24"/>
      <w:szCs w:val="24"/>
    </w:rPr>
  </w:style>
  <w:style w:type="character" w:customStyle="1" w:styleId="Ttulo9Car">
    <w:name w:val="Título 9 Car"/>
    <w:basedOn w:val="Fuentedeprrafopredeter"/>
    <w:link w:val="Ttulo9"/>
    <w:uiPriority w:val="9"/>
    <w:semiHidden/>
    <w:rsid w:val="00E95667"/>
    <w:rPr>
      <w:rFonts w:asciiTheme="majorHAnsi" w:eastAsiaTheme="majorEastAsia" w:hAnsiTheme="majorHAnsi" w:cstheme="majorBidi"/>
    </w:rPr>
  </w:style>
  <w:style w:type="character" w:styleId="Hipervnculo">
    <w:name w:val="Hyperlink"/>
    <w:basedOn w:val="Fuentedeprrafopredeter"/>
    <w:uiPriority w:val="99"/>
    <w:semiHidden/>
    <w:unhideWhenUsed/>
    <w:rsid w:val="007236B0"/>
    <w:rPr>
      <w:color w:val="0000FF"/>
      <w:u w:val="single"/>
    </w:rPr>
  </w:style>
  <w:style w:type="paragraph" w:styleId="Prrafodelista">
    <w:name w:val="List Paragraph"/>
    <w:basedOn w:val="Normal"/>
    <w:uiPriority w:val="34"/>
    <w:qFormat/>
    <w:rsid w:val="004070D2"/>
    <w:pPr>
      <w:spacing w:after="160" w:line="259" w:lineRule="auto"/>
      <w:ind w:left="720"/>
      <w:contextualSpacing/>
    </w:pPr>
    <w:rPr>
      <w:rFonts w:asciiTheme="minorHAnsi" w:eastAsiaTheme="minorHAnsi" w:hAnsiTheme="minorHAnsi" w:cstheme="minorBidi"/>
      <w:sz w:val="22"/>
      <w:szCs w:val="22"/>
      <w:lang w:val="es-ES_tradnl"/>
    </w:rPr>
  </w:style>
  <w:style w:type="table" w:styleId="Tablaconcuadrcula">
    <w:name w:val="Table Grid"/>
    <w:basedOn w:val="Tablanormal"/>
    <w:uiPriority w:val="39"/>
    <w:rsid w:val="004070D2"/>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87F08"/>
    <w:pPr>
      <w:spacing w:after="200"/>
      <w:ind w:firstLine="709"/>
      <w:jc w:val="both"/>
    </w:pPr>
    <w:rPr>
      <w:i/>
      <w:iCs/>
      <w:color w:val="44546A" w:themeColor="text2"/>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7678">
      <w:bodyDiv w:val="1"/>
      <w:marLeft w:val="0"/>
      <w:marRight w:val="0"/>
      <w:marTop w:val="0"/>
      <w:marBottom w:val="0"/>
      <w:divBdr>
        <w:top w:val="none" w:sz="0" w:space="0" w:color="auto"/>
        <w:left w:val="none" w:sz="0" w:space="0" w:color="auto"/>
        <w:bottom w:val="none" w:sz="0" w:space="0" w:color="auto"/>
        <w:right w:val="none" w:sz="0" w:space="0" w:color="auto"/>
      </w:divBdr>
    </w:div>
    <w:div w:id="15817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oqueticoa@unia.edu.pe"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21/acs.est.2c06310" TargetMode="External"/><Relationship Id="rId7" Type="http://schemas.openxmlformats.org/officeDocument/2006/relationships/endnotes" Target="endnotes.xml"/><Relationship Id="rId12" Type="http://schemas.openxmlformats.org/officeDocument/2006/relationships/hyperlink" Target="https://orcid.org/0009-0001-3151-2936" TargetMode="Externa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scielo.org.co/pdf/dyna/v86n209/0012-7353-dyna-86-209-34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0000-0003-3889-7266" TargetMode="External"/><Relationship Id="rId19" Type="http://schemas.openxmlformats.org/officeDocument/2006/relationships/hyperlink" Target="https://www.redalyc.org/pdf/289/2890040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1051/e3sconf/202337501007"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4AB5-FE11-4E01-B034-BADAD695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4301</Words>
  <Characters>24518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cucho</dc:creator>
  <cp:keywords/>
  <dc:description/>
  <cp:lastModifiedBy>robert cucho</cp:lastModifiedBy>
  <cp:revision>14</cp:revision>
  <cp:lastPrinted>2025-01-16T19:09:00Z</cp:lastPrinted>
  <dcterms:created xsi:type="dcterms:W3CDTF">2025-01-16T14:57:00Z</dcterms:created>
  <dcterms:modified xsi:type="dcterms:W3CDTF">2025-01-16T19:14:00Z</dcterms:modified>
</cp:coreProperties>
</file>